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56C74" w14:textId="103A1F09" w:rsidR="00601EE7" w:rsidRDefault="00601EE7" w:rsidP="00601EE7">
      <w:pPr>
        <w:tabs>
          <w:tab w:val="right" w:pos="9900"/>
        </w:tabs>
        <w:kinsoku w:val="0"/>
        <w:spacing w:after="0"/>
        <w:rPr>
          <w:rFonts w:ascii="Arial" w:hAnsi="Arial" w:cs="Arial"/>
          <w:b/>
          <w:bCs/>
        </w:rPr>
      </w:pPr>
      <w:r>
        <w:rPr>
          <w:rFonts w:ascii="Arial" w:hAnsi="Arial" w:cs="Arial"/>
          <w:b/>
          <w:bCs/>
        </w:rPr>
        <w:t>3GPP TSG RAN WG1 Meeting #98</w:t>
      </w:r>
      <w:r>
        <w:rPr>
          <w:rFonts w:ascii="Arial" w:hAnsi="Arial" w:cs="Arial"/>
          <w:b/>
          <w:bCs/>
        </w:rPr>
        <w:tab/>
        <w:t xml:space="preserve">                                                                          R1-190</w:t>
      </w:r>
      <w:r w:rsidR="00DF7691">
        <w:rPr>
          <w:rFonts w:ascii="Arial" w:hAnsi="Arial" w:cs="Arial"/>
          <w:b/>
          <w:bCs/>
        </w:rPr>
        <w:t>9249</w:t>
      </w:r>
    </w:p>
    <w:p w14:paraId="2C5E7A27" w14:textId="77777777" w:rsidR="00601EE7" w:rsidRDefault="00601EE7" w:rsidP="00601EE7">
      <w:pPr>
        <w:tabs>
          <w:tab w:val="right" w:pos="9900"/>
        </w:tabs>
        <w:kinsoku w:val="0"/>
        <w:spacing w:after="0"/>
        <w:rPr>
          <w:rFonts w:ascii="Arial" w:hAnsi="Arial" w:cs="Arial"/>
          <w:b/>
          <w:bCs/>
          <w:szCs w:val="22"/>
          <w:lang w:val="en-GB"/>
        </w:rPr>
      </w:pPr>
      <w:r>
        <w:rPr>
          <w:rFonts w:ascii="Arial" w:hAnsi="Arial" w:cs="Arial"/>
          <w:b/>
          <w:bCs/>
        </w:rPr>
        <w:t>Prague, CZ</w:t>
      </w:r>
    </w:p>
    <w:p w14:paraId="3F81061B" w14:textId="77777777" w:rsidR="00601EE7" w:rsidRDefault="00601EE7" w:rsidP="00601EE7">
      <w:pPr>
        <w:tabs>
          <w:tab w:val="right" w:pos="9900"/>
        </w:tabs>
        <w:kinsoku w:val="0"/>
        <w:spacing w:after="0"/>
        <w:rPr>
          <w:rFonts w:ascii="Arial" w:hAnsi="Arial" w:cs="Arial"/>
          <w:b/>
          <w:bCs/>
        </w:rPr>
      </w:pPr>
      <w:r>
        <w:rPr>
          <w:rFonts w:ascii="Arial" w:hAnsi="Arial" w:cs="Arial"/>
          <w:b/>
          <w:bCs/>
        </w:rPr>
        <w:t>August 26</w:t>
      </w:r>
      <w:r>
        <w:rPr>
          <w:rFonts w:ascii="Arial" w:hAnsi="Arial" w:cs="Arial"/>
          <w:b/>
          <w:bCs/>
          <w:vertAlign w:val="superscript"/>
        </w:rPr>
        <w:t>th</w:t>
      </w:r>
      <w:r>
        <w:rPr>
          <w:rFonts w:ascii="Arial" w:hAnsi="Arial" w:cs="Arial"/>
          <w:b/>
          <w:bCs/>
        </w:rPr>
        <w:t xml:space="preserve"> – August 30</w:t>
      </w:r>
      <w:r>
        <w:rPr>
          <w:rFonts w:ascii="Arial" w:hAnsi="Arial" w:cs="Arial"/>
          <w:b/>
          <w:bCs/>
          <w:vertAlign w:val="superscript"/>
        </w:rPr>
        <w:t>th</w:t>
      </w:r>
      <w:r>
        <w:rPr>
          <w:rFonts w:ascii="Arial" w:hAnsi="Arial" w:cs="Arial"/>
          <w:b/>
          <w:bCs/>
        </w:rPr>
        <w:t xml:space="preserve">, 2019  </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876D6D" w:rsidRDefault="007560B7" w:rsidP="00601374">
      <w:pPr>
        <w:kinsoku w:val="0"/>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w:t>
      </w:r>
      <w:r w:rsidR="00077A56">
        <w:rPr>
          <w:rFonts w:ascii="Arial" w:hAnsi="Arial" w:cs="Arial"/>
          <w:b/>
          <w:snapToGrid w:val="0"/>
        </w:rPr>
        <w:t>2.2</w:t>
      </w:r>
      <w:r w:rsidR="003520EB" w:rsidRPr="00876D6D">
        <w:rPr>
          <w:rFonts w:ascii="Arial" w:hAnsi="Arial" w:cs="Arial"/>
          <w:b/>
          <w:snapToGrid w:val="0"/>
        </w:rPr>
        <w:t>.</w:t>
      </w:r>
      <w:r w:rsidR="00B45132" w:rsidRPr="00876D6D">
        <w:rPr>
          <w:rFonts w:ascii="Arial" w:hAnsi="Arial" w:cs="Arial"/>
          <w:b/>
          <w:snapToGrid w:val="0"/>
        </w:rPr>
        <w:t>2</w:t>
      </w:r>
      <w:r w:rsidR="00767591">
        <w:rPr>
          <w:rFonts w:ascii="Arial" w:hAnsi="Arial" w:cs="Arial"/>
          <w:b/>
          <w:snapToGrid w:val="0"/>
        </w:rPr>
        <w:t>.5</w:t>
      </w:r>
    </w:p>
    <w:p w14:paraId="38C90A73" w14:textId="77777777" w:rsidR="007560B7" w:rsidRPr="00876D6D" w:rsidRDefault="007560B7" w:rsidP="00601374">
      <w:pPr>
        <w:kinsoku w:val="0"/>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16D6744B" w:rsidR="00335B11"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r w:rsidR="00767591">
        <w:rPr>
          <w:rFonts w:ascii="Arial" w:hAnsi="Arial" w:cs="Arial"/>
          <w:b/>
          <w:snapToGrid w:val="0"/>
        </w:rPr>
        <w:t>Wideband operation for NR-U</w:t>
      </w:r>
    </w:p>
    <w:p w14:paraId="62BEAD57" w14:textId="737004AB" w:rsidR="007560B7"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601374">
      <w:pPr>
        <w:pStyle w:val="Heading1"/>
        <w:kinsoku w:val="0"/>
        <w:spacing w:after="0"/>
      </w:pPr>
      <w:r w:rsidRPr="00392E7D">
        <w:t>Introduction</w:t>
      </w:r>
    </w:p>
    <w:p w14:paraId="6E13A30D" w14:textId="024D39B4" w:rsidR="00DA1350" w:rsidRPr="002236FA" w:rsidRDefault="00E96301" w:rsidP="00601374">
      <w:pPr>
        <w:kinsoku w:val="0"/>
        <w:overflowPunct w:val="0"/>
        <w:rPr>
          <w:szCs w:val="20"/>
        </w:rPr>
      </w:pPr>
      <w:r>
        <w:rPr>
          <w:szCs w:val="20"/>
        </w:rPr>
        <w:t>From the NR-U study item phase, the following has been agreed for NR-U wideband operation:</w:t>
      </w:r>
    </w:p>
    <w:p w14:paraId="4485F3C3" w14:textId="77777777" w:rsidR="0094414E" w:rsidRDefault="0094414E" w:rsidP="0094414E">
      <w:pPr>
        <w:rPr>
          <w:rFonts w:eastAsia="Malgun Gothic"/>
          <w:kern w:val="0"/>
          <w:szCs w:val="22"/>
        </w:rPr>
      </w:pPr>
      <w:r>
        <w:rPr>
          <w:rFonts w:eastAsia="Malgun Gothic"/>
        </w:rPr>
        <w:t>For DL operation, the following options for BWP-based operation within a carrier with bandwidth larger than 20 MHz can be considered.</w:t>
      </w:r>
    </w:p>
    <w:p w14:paraId="61E55448" w14:textId="77777777" w:rsidR="0094414E" w:rsidRDefault="0094414E" w:rsidP="00B86952">
      <w:pPr>
        <w:pStyle w:val="B10"/>
        <w:numPr>
          <w:ilvl w:val="0"/>
          <w:numId w:val="5"/>
        </w:numPr>
        <w:spacing w:after="0"/>
        <w:rPr>
          <w:lang w:val="en-US"/>
        </w:rPr>
      </w:pPr>
      <w:r>
        <w:rPr>
          <w:lang w:val="en-US"/>
        </w:rPr>
        <w:t>Option 1a: Multiple BWPs configured, multiple BWPs activated, transmission of PDSCH on one or more BWPs</w:t>
      </w:r>
    </w:p>
    <w:p w14:paraId="35DF4332" w14:textId="77777777" w:rsidR="0094414E" w:rsidRDefault="0094414E" w:rsidP="00B86952">
      <w:pPr>
        <w:pStyle w:val="B10"/>
        <w:numPr>
          <w:ilvl w:val="0"/>
          <w:numId w:val="5"/>
        </w:numPr>
        <w:spacing w:after="0"/>
        <w:rPr>
          <w:lang w:val="en-US"/>
        </w:rPr>
      </w:pPr>
      <w:r>
        <w:rPr>
          <w:lang w:val="en-US"/>
        </w:rPr>
        <w:t>Option 1b: Multiple BWPs configured, multiple BWPs activated, transmission of PDSCH on single BWP</w:t>
      </w:r>
    </w:p>
    <w:p w14:paraId="5121A45D" w14:textId="77777777" w:rsidR="0094414E" w:rsidRDefault="0094414E" w:rsidP="00B86952">
      <w:pPr>
        <w:pStyle w:val="B10"/>
        <w:numPr>
          <w:ilvl w:val="0"/>
          <w:numId w:val="5"/>
        </w:numPr>
        <w:spacing w:after="0"/>
        <w:rPr>
          <w:lang w:val="en-US"/>
        </w:rPr>
      </w:pPr>
      <w:r>
        <w:rPr>
          <w:lang w:val="en-US"/>
        </w:rPr>
        <w:t>Option 2: Multiple BWPs can be configured, single BWP activated, gNB transmits PDSCH on a single BWP if CCA is successful at gNB for the whole BWP</w:t>
      </w:r>
    </w:p>
    <w:p w14:paraId="12AB5D67" w14:textId="77777777" w:rsidR="0094414E" w:rsidRDefault="0094414E" w:rsidP="00B86952">
      <w:pPr>
        <w:pStyle w:val="B10"/>
        <w:numPr>
          <w:ilvl w:val="0"/>
          <w:numId w:val="5"/>
        </w:numPr>
        <w:spacing w:after="0"/>
        <w:rPr>
          <w:lang w:val="en-US"/>
        </w:rPr>
      </w:pPr>
      <w:r>
        <w:rPr>
          <w:lang w:val="en-US"/>
        </w:rPr>
        <w:t>Option 3: Multiple BWPs can be configured, single BWP activated, gNB transmits PDSCH on parts or whole of single BWP where CCA is successful at gNB</w:t>
      </w:r>
    </w:p>
    <w:p w14:paraId="532AF52F" w14:textId="77777777" w:rsidR="0094414E" w:rsidRDefault="0094414E" w:rsidP="0094414E">
      <w:pPr>
        <w:rPr>
          <w:rFonts w:eastAsia="Malgun Gothic"/>
        </w:rPr>
      </w:pPr>
      <w:r>
        <w:t>For UL operation, the following options for BWP-based operation within a carrier with bandwidth larger than 20 MHz can be considered.</w:t>
      </w:r>
    </w:p>
    <w:p w14:paraId="320CF1D4" w14:textId="77777777" w:rsidR="0094414E" w:rsidRDefault="0094414E" w:rsidP="00B86952">
      <w:pPr>
        <w:pStyle w:val="B10"/>
        <w:numPr>
          <w:ilvl w:val="0"/>
          <w:numId w:val="5"/>
        </w:numPr>
        <w:spacing w:after="0"/>
        <w:rPr>
          <w:lang w:val="en-US"/>
        </w:rPr>
      </w:pPr>
      <w:r>
        <w:rPr>
          <w:lang w:val="en-US"/>
        </w:rPr>
        <w:t>Option 1a: Multiple BWPs configured, multiple BWPs activated, transmission of PUSCH on one or more BWPs</w:t>
      </w:r>
    </w:p>
    <w:p w14:paraId="35A61F1E" w14:textId="77777777" w:rsidR="0094414E" w:rsidRDefault="0094414E" w:rsidP="00B86952">
      <w:pPr>
        <w:pStyle w:val="B10"/>
        <w:numPr>
          <w:ilvl w:val="0"/>
          <w:numId w:val="5"/>
        </w:numPr>
        <w:spacing w:after="0"/>
        <w:rPr>
          <w:lang w:val="en-US"/>
        </w:rPr>
      </w:pPr>
      <w:r>
        <w:rPr>
          <w:lang w:val="en-US"/>
        </w:rPr>
        <w:t>Option 1b: Multiple BWPs configured, multiple BWPs activated, transmission of PUSCH on single BWP</w:t>
      </w:r>
    </w:p>
    <w:p w14:paraId="41049837" w14:textId="77777777" w:rsidR="0094414E" w:rsidRDefault="0094414E" w:rsidP="00B86952">
      <w:pPr>
        <w:pStyle w:val="B10"/>
        <w:numPr>
          <w:ilvl w:val="0"/>
          <w:numId w:val="5"/>
        </w:numPr>
        <w:spacing w:after="0"/>
        <w:rPr>
          <w:lang w:val="en-US"/>
        </w:rPr>
      </w:pPr>
      <w:r>
        <w:rPr>
          <w:lang w:val="en-US"/>
        </w:rPr>
        <w:t>Option 2: Multiple BWPs can be configured, single BWP activated, UE transmits PUSCH on a single BWP if CCA is successful at UE for the whole BWP</w:t>
      </w:r>
    </w:p>
    <w:p w14:paraId="3AF56B17" w14:textId="24E9C478" w:rsidR="00E96301" w:rsidRDefault="0094414E" w:rsidP="00B86952">
      <w:pPr>
        <w:pStyle w:val="B10"/>
        <w:numPr>
          <w:ilvl w:val="0"/>
          <w:numId w:val="5"/>
        </w:numPr>
        <w:spacing w:after="0"/>
        <w:rPr>
          <w:lang w:val="en-US"/>
        </w:rPr>
      </w:pPr>
      <w:r w:rsidRPr="00E96301">
        <w:rPr>
          <w:lang w:val="en-US"/>
        </w:rPr>
        <w:t>Option 3: Multiple BWPs can be configured, single BWP activated, UE transmits PUSCH on parts or whole of single BWP where CCA is successful at UE</w:t>
      </w:r>
    </w:p>
    <w:p w14:paraId="3722F5E1" w14:textId="24D76AA6" w:rsidR="00E96301" w:rsidRDefault="00E96301" w:rsidP="00E96301">
      <w:pPr>
        <w:pStyle w:val="B10"/>
        <w:spacing w:before="120"/>
        <w:ind w:left="0" w:firstLine="0"/>
        <w:rPr>
          <w:lang w:val="en-US"/>
        </w:rPr>
      </w:pPr>
      <w:r>
        <w:rPr>
          <w:lang w:val="en-US"/>
        </w:rPr>
        <w:t>In RAN1 #Adhoc1901, the following agreements have been reached:</w:t>
      </w:r>
    </w:p>
    <w:p w14:paraId="79C948E8" w14:textId="77777777" w:rsidR="00E96301" w:rsidRPr="001243DE" w:rsidRDefault="00E96301" w:rsidP="00E96301">
      <w:pPr>
        <w:rPr>
          <w:rFonts w:cs="Times"/>
          <w:szCs w:val="20"/>
          <w:lang w:eastAsia="x-none"/>
        </w:rPr>
      </w:pPr>
      <w:r w:rsidRPr="001243DE">
        <w:rPr>
          <w:rFonts w:cs="Times"/>
          <w:szCs w:val="20"/>
          <w:highlight w:val="green"/>
          <w:lang w:eastAsia="x-none"/>
        </w:rPr>
        <w:t>Agreement:</w:t>
      </w:r>
    </w:p>
    <w:p w14:paraId="39FED4BB" w14:textId="77777777" w:rsidR="00E96301" w:rsidRPr="001243DE" w:rsidRDefault="00E96301" w:rsidP="0098744F">
      <w:pPr>
        <w:widowControl/>
        <w:numPr>
          <w:ilvl w:val="0"/>
          <w:numId w:val="6"/>
        </w:numPr>
        <w:autoSpaceDE/>
        <w:autoSpaceDN/>
        <w:spacing w:after="0"/>
        <w:jc w:val="left"/>
        <w:rPr>
          <w:rFonts w:cs="Times"/>
          <w:szCs w:val="20"/>
          <w:lang w:eastAsia="x-none"/>
        </w:rPr>
      </w:pPr>
      <w:r w:rsidRPr="001243DE">
        <w:rPr>
          <w:rFonts w:cs="Times"/>
          <w:szCs w:val="20"/>
          <w:lang w:eastAsia="x-none"/>
        </w:rPr>
        <w:t>For wideband operation in DL with a single serving cell operation within a carrier with bandwidth larger than 20 MHz</w:t>
      </w:r>
    </w:p>
    <w:p w14:paraId="0033EBDE" w14:textId="77777777" w:rsidR="00E96301" w:rsidRPr="001243DE" w:rsidRDefault="00E96301" w:rsidP="0098744F">
      <w:pPr>
        <w:widowControl/>
        <w:numPr>
          <w:ilvl w:val="1"/>
          <w:numId w:val="6"/>
        </w:numPr>
        <w:autoSpaceDE/>
        <w:autoSpaceDN/>
        <w:spacing w:after="0"/>
        <w:jc w:val="left"/>
        <w:rPr>
          <w:rFonts w:cs="Times"/>
          <w:szCs w:val="20"/>
          <w:lang w:eastAsia="x-none"/>
        </w:rPr>
      </w:pPr>
      <w:r w:rsidRPr="001243DE">
        <w:rPr>
          <w:rFonts w:cs="Times"/>
          <w:szCs w:val="20"/>
          <w:lang w:eastAsia="x-none"/>
        </w:rPr>
        <w:t>Multiple BWPs can be configured, single BWP activated, gNB may transmit PDSCH on parts or whole of single active BWP where CCA is successful at gNB (i.e., option 2 and 3 from previous agreement)</w:t>
      </w:r>
    </w:p>
    <w:p w14:paraId="62EC66A2"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 xml:space="preserve">FFS: Restrictions on supportable gaps and combinations of gaps between </w:t>
      </w:r>
      <w:proofErr w:type="spellStart"/>
      <w:r w:rsidRPr="001243DE">
        <w:rPr>
          <w:rFonts w:cs="Times"/>
          <w:szCs w:val="20"/>
          <w:lang w:eastAsia="x-none"/>
        </w:rPr>
        <w:t>discontiguous</w:t>
      </w:r>
      <w:proofErr w:type="spellEnd"/>
      <w:r w:rsidRPr="001243DE">
        <w:rPr>
          <w:rFonts w:cs="Times"/>
          <w:szCs w:val="20"/>
          <w:lang w:eastAsia="x-none"/>
        </w:rPr>
        <w:t xml:space="preserve"> blocks where </w:t>
      </w:r>
    </w:p>
    <w:p w14:paraId="222A3D88" w14:textId="77777777" w:rsidR="00E96301" w:rsidRPr="001243DE" w:rsidRDefault="00E96301" w:rsidP="0098744F">
      <w:pPr>
        <w:widowControl/>
        <w:numPr>
          <w:ilvl w:val="3"/>
          <w:numId w:val="6"/>
        </w:numPr>
        <w:autoSpaceDE/>
        <w:autoSpaceDN/>
        <w:spacing w:after="0"/>
        <w:jc w:val="left"/>
        <w:rPr>
          <w:rFonts w:cs="Times"/>
          <w:szCs w:val="20"/>
          <w:lang w:eastAsia="x-none"/>
        </w:rPr>
      </w:pPr>
      <w:r w:rsidRPr="001243DE">
        <w:rPr>
          <w:rFonts w:cs="Times"/>
          <w:szCs w:val="20"/>
          <w:lang w:eastAsia="x-none"/>
        </w:rPr>
        <w:t>each block spans contiguous (one or) multiple successful LBT sub-bands</w:t>
      </w:r>
    </w:p>
    <w:p w14:paraId="498742C1" w14:textId="77777777" w:rsidR="00E96301" w:rsidRPr="001243DE" w:rsidRDefault="00E96301" w:rsidP="0098744F">
      <w:pPr>
        <w:widowControl/>
        <w:numPr>
          <w:ilvl w:val="3"/>
          <w:numId w:val="6"/>
        </w:numPr>
        <w:autoSpaceDE/>
        <w:autoSpaceDN/>
        <w:spacing w:after="0"/>
        <w:jc w:val="left"/>
        <w:rPr>
          <w:rFonts w:cs="Times"/>
          <w:szCs w:val="20"/>
          <w:lang w:eastAsia="x-none"/>
        </w:rPr>
      </w:pPr>
      <w:r w:rsidRPr="001243DE">
        <w:rPr>
          <w:rFonts w:cs="Times"/>
          <w:szCs w:val="20"/>
          <w:lang w:eastAsia="x-none"/>
        </w:rPr>
        <w:t>each gap spans one or multiple contiguous unsuccessful LBT sub-bands</w:t>
      </w:r>
    </w:p>
    <w:p w14:paraId="6518B05E"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7F32E035"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Limit on the occupied LBT sub-bands due to regulation and coexistence considerations (not intended to imply that regulation and coexistence considerations will not be addressed)</w:t>
      </w:r>
    </w:p>
    <w:p w14:paraId="5DD05E31"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 xml:space="preserve">FFS: Whether/how to indicate </w:t>
      </w:r>
      <w:proofErr w:type="spellStart"/>
      <w:r w:rsidRPr="001243DE">
        <w:rPr>
          <w:rFonts w:cs="Times"/>
          <w:szCs w:val="20"/>
          <w:lang w:eastAsia="x-none"/>
        </w:rPr>
        <w:t>gNB’s</w:t>
      </w:r>
      <w:proofErr w:type="spellEnd"/>
      <w:r w:rsidRPr="001243DE">
        <w:rPr>
          <w:rFonts w:cs="Times"/>
          <w:szCs w:val="20"/>
          <w:lang w:eastAsia="x-none"/>
        </w:rPr>
        <w:t xml:space="preserve"> transmitted LBT sub-bands</w:t>
      </w:r>
    </w:p>
    <w:p w14:paraId="1DBA7145"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Enhancements to PDCCH/PDSCH configuration/transmission for the parts of BWP where gNB does not transmit due to CCA failure</w:t>
      </w:r>
    </w:p>
    <w:p w14:paraId="60188FC9" w14:textId="77777777" w:rsidR="00E96301" w:rsidRPr="001243DE" w:rsidRDefault="00E96301" w:rsidP="00E96301">
      <w:pPr>
        <w:rPr>
          <w:rFonts w:cs="Times"/>
          <w:szCs w:val="20"/>
          <w:lang w:eastAsia="x-none"/>
        </w:rPr>
      </w:pPr>
      <w:r w:rsidRPr="001243DE">
        <w:rPr>
          <w:rFonts w:cs="Times"/>
          <w:szCs w:val="20"/>
          <w:highlight w:val="green"/>
          <w:lang w:eastAsia="x-none"/>
        </w:rPr>
        <w:t>Agreement:</w:t>
      </w:r>
    </w:p>
    <w:p w14:paraId="2950E9D6" w14:textId="5650541B" w:rsidR="00E96301" w:rsidRPr="00047356" w:rsidRDefault="00E96301" w:rsidP="0098744F">
      <w:pPr>
        <w:pStyle w:val="ListParagraph"/>
        <w:numPr>
          <w:ilvl w:val="0"/>
          <w:numId w:val="6"/>
        </w:numPr>
        <w:ind w:leftChars="0"/>
        <w:rPr>
          <w:rFonts w:cs="Times"/>
          <w:szCs w:val="20"/>
          <w:lang w:eastAsia="x-none"/>
        </w:rPr>
      </w:pPr>
      <w:r w:rsidRPr="00047356">
        <w:rPr>
          <w:rFonts w:cs="Times"/>
          <w:szCs w:val="20"/>
          <w:lang w:eastAsia="x-none"/>
        </w:rPr>
        <w:t>Operation with multiple active BWPs for a carrier on unlicensed bands is not supported for DL or UL at least in Rel-16 NR-U WI.</w:t>
      </w:r>
    </w:p>
    <w:p w14:paraId="06303D64" w14:textId="5548FB98" w:rsidR="0098744F" w:rsidRDefault="0098744F" w:rsidP="00E96301">
      <w:pPr>
        <w:pStyle w:val="B10"/>
        <w:spacing w:before="120"/>
        <w:ind w:left="0" w:firstLine="0"/>
        <w:rPr>
          <w:lang w:val="en-US"/>
        </w:rPr>
      </w:pPr>
      <w:r>
        <w:rPr>
          <w:lang w:val="en-US"/>
        </w:rPr>
        <w:t>In RAN1 #96bis, the following agreements have been reached:</w:t>
      </w:r>
    </w:p>
    <w:p w14:paraId="60907DF1" w14:textId="77777777" w:rsidR="0098744F" w:rsidRDefault="0098744F" w:rsidP="0098744F">
      <w:pPr>
        <w:rPr>
          <w:lang w:eastAsia="x-none"/>
        </w:rPr>
      </w:pPr>
      <w:r w:rsidRPr="00D627AE">
        <w:rPr>
          <w:highlight w:val="green"/>
          <w:lang w:eastAsia="x-none"/>
        </w:rPr>
        <w:lastRenderedPageBreak/>
        <w:t>Agreement:</w:t>
      </w:r>
    </w:p>
    <w:p w14:paraId="223C7E10" w14:textId="77777777" w:rsidR="0098744F" w:rsidRDefault="0098744F" w:rsidP="0098744F">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05BCFACA" w14:textId="77777777" w:rsidR="0098744F" w:rsidRDefault="0098744F" w:rsidP="0098744F">
      <w:pPr>
        <w:widowControl/>
        <w:numPr>
          <w:ilvl w:val="0"/>
          <w:numId w:val="7"/>
        </w:numPr>
        <w:autoSpaceDE/>
        <w:autoSpaceDN/>
        <w:spacing w:after="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3DEDDC18" w14:textId="77777777" w:rsidR="0098744F" w:rsidRDefault="0098744F" w:rsidP="0098744F">
      <w:pPr>
        <w:widowControl/>
        <w:numPr>
          <w:ilvl w:val="0"/>
          <w:numId w:val="7"/>
        </w:numPr>
        <w:autoSpaceDE/>
        <w:autoSpaceDN/>
        <w:spacing w:after="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9214DD9" w14:textId="77777777" w:rsidR="0098744F" w:rsidRDefault="0098744F" w:rsidP="0098744F">
      <w:pPr>
        <w:widowControl/>
        <w:numPr>
          <w:ilvl w:val="1"/>
          <w:numId w:val="7"/>
        </w:numPr>
        <w:autoSpaceDE/>
        <w:autoSpaceDN/>
        <w:spacing w:after="0"/>
        <w:jc w:val="left"/>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3DB46276" w14:textId="77777777" w:rsidR="0098744F" w:rsidRPr="00B7417E" w:rsidRDefault="0098744F" w:rsidP="0098744F">
      <w:pPr>
        <w:widowControl/>
        <w:numPr>
          <w:ilvl w:val="1"/>
          <w:numId w:val="7"/>
        </w:numPr>
        <w:autoSpaceDE/>
        <w:autoSpaceDN/>
        <w:spacing w:after="0"/>
        <w:jc w:val="left"/>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4C322088"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3A16EF2D"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FFS: Whether this applies also to configured grant PUSCH</w:t>
      </w:r>
    </w:p>
    <w:p w14:paraId="1CE26F29" w14:textId="3A7FAEF9" w:rsidR="0098744F" w:rsidRDefault="0098744F" w:rsidP="0098744F">
      <w:pPr>
        <w:widowControl/>
        <w:numPr>
          <w:ilvl w:val="0"/>
          <w:numId w:val="7"/>
        </w:numPr>
        <w:autoSpaceDE/>
        <w:autoSpaceDN/>
        <w:spacing w:after="0"/>
        <w:jc w:val="left"/>
        <w:rPr>
          <w:lang w:eastAsia="x-none"/>
        </w:rPr>
      </w:pPr>
      <w:r w:rsidRPr="00EE4A63">
        <w:rPr>
          <w:lang w:eastAsia="x-none"/>
        </w:rPr>
        <w:t>FFS: Whether this applies also to PUCCH</w:t>
      </w:r>
    </w:p>
    <w:p w14:paraId="4F685BBA" w14:textId="77777777" w:rsidR="0098744F" w:rsidRDefault="0098744F" w:rsidP="0098744F">
      <w:pPr>
        <w:widowControl/>
        <w:autoSpaceDE/>
        <w:autoSpaceDN/>
        <w:spacing w:after="0"/>
        <w:jc w:val="left"/>
        <w:rPr>
          <w:lang w:eastAsia="x-none"/>
        </w:rPr>
      </w:pPr>
    </w:p>
    <w:p w14:paraId="657524D7" w14:textId="77777777" w:rsidR="0098744F" w:rsidRDefault="0098744F" w:rsidP="0098744F">
      <w:pPr>
        <w:rPr>
          <w:lang w:eastAsia="x-none"/>
        </w:rPr>
      </w:pPr>
      <w:r w:rsidRPr="009C6969">
        <w:rPr>
          <w:highlight w:val="green"/>
          <w:lang w:eastAsia="x-none"/>
        </w:rPr>
        <w:t>Agreement:</w:t>
      </w:r>
    </w:p>
    <w:p w14:paraId="5A1327E4" w14:textId="77777777" w:rsidR="0098744F" w:rsidRDefault="0098744F" w:rsidP="0098744F">
      <w:pPr>
        <w:widowControl/>
        <w:numPr>
          <w:ilvl w:val="0"/>
          <w:numId w:val="8"/>
        </w:numPr>
        <w:autoSpaceDE/>
        <w:autoSpaceDN/>
        <w:spacing w:after="0"/>
        <w:jc w:val="left"/>
        <w:rPr>
          <w:lang w:eastAsia="x-none"/>
        </w:rPr>
      </w:pPr>
      <w:r w:rsidRPr="00414006">
        <w:rPr>
          <w:lang w:eastAsia="x-none"/>
        </w:rPr>
        <w:t xml:space="preserve">Support a mechanism for a UE to </w:t>
      </w:r>
      <w:r>
        <w:rPr>
          <w:lang w:eastAsia="x-none"/>
        </w:rPr>
        <w:t>detect gNB is transmitting across</w:t>
      </w:r>
    </w:p>
    <w:p w14:paraId="2BEE433A" w14:textId="77777777" w:rsidR="0098744F" w:rsidRPr="007522E2" w:rsidRDefault="0098744F" w:rsidP="0098744F">
      <w:pPr>
        <w:widowControl/>
        <w:numPr>
          <w:ilvl w:val="1"/>
          <w:numId w:val="8"/>
        </w:numPr>
        <w:autoSpaceDE/>
        <w:autoSpaceDN/>
        <w:spacing w:after="0"/>
        <w:jc w:val="left"/>
        <w:rPr>
          <w:lang w:eastAsia="x-none"/>
        </w:rPr>
      </w:pPr>
      <w:r>
        <w:rPr>
          <w:lang w:eastAsia="x-none"/>
        </w:rPr>
        <w:t>M</w:t>
      </w:r>
      <w:r w:rsidRPr="00414006">
        <w:rPr>
          <w:lang w:eastAsia="x-none"/>
        </w:rPr>
        <w:t xml:space="preserve">ultiple carriers </w:t>
      </w:r>
    </w:p>
    <w:p w14:paraId="6E95C309" w14:textId="77777777" w:rsidR="0098744F" w:rsidRPr="007522E2" w:rsidRDefault="0098744F" w:rsidP="0098744F">
      <w:pPr>
        <w:widowControl/>
        <w:numPr>
          <w:ilvl w:val="1"/>
          <w:numId w:val="8"/>
        </w:numPr>
        <w:autoSpaceDE/>
        <w:autoSpaceDN/>
        <w:spacing w:after="0"/>
        <w:jc w:val="left"/>
        <w:rPr>
          <w:lang w:eastAsia="x-none"/>
        </w:rPr>
      </w:pPr>
      <w:r>
        <w:rPr>
          <w:lang w:eastAsia="x-none"/>
        </w:rPr>
        <w:t>M</w:t>
      </w:r>
      <w:r w:rsidRPr="00414006">
        <w:rPr>
          <w:lang w:eastAsia="x-none"/>
        </w:rPr>
        <w:t>ultiple LBT bandwidths</w:t>
      </w:r>
      <w:r>
        <w:rPr>
          <w:lang w:eastAsia="x-none"/>
        </w:rPr>
        <w:t xml:space="preserve"> in a carrier. </w:t>
      </w:r>
    </w:p>
    <w:p w14:paraId="02682E9A" w14:textId="77777777" w:rsidR="0098744F" w:rsidRPr="007522E2" w:rsidRDefault="0098744F" w:rsidP="0098744F">
      <w:pPr>
        <w:widowControl/>
        <w:numPr>
          <w:ilvl w:val="0"/>
          <w:numId w:val="8"/>
        </w:numPr>
        <w:autoSpaceDE/>
        <w:autoSpaceDN/>
        <w:spacing w:after="0"/>
        <w:jc w:val="left"/>
        <w:rPr>
          <w:lang w:eastAsia="x-none"/>
        </w:rPr>
      </w:pPr>
      <w:r w:rsidRPr="007522E2">
        <w:rPr>
          <w:lang w:eastAsia="x-none"/>
        </w:rPr>
        <w:t>The following mechanisms are to be considered:</w:t>
      </w:r>
    </w:p>
    <w:p w14:paraId="71D08702" w14:textId="77777777" w:rsidR="0098744F" w:rsidRDefault="0098744F" w:rsidP="0098744F">
      <w:pPr>
        <w:widowControl/>
        <w:numPr>
          <w:ilvl w:val="1"/>
          <w:numId w:val="8"/>
        </w:numPr>
        <w:autoSpaceDE/>
        <w:autoSpaceDN/>
        <w:spacing w:after="0"/>
        <w:jc w:val="left"/>
        <w:rPr>
          <w:lang w:eastAsia="x-none"/>
        </w:rPr>
      </w:pPr>
      <w:r w:rsidRPr="00414006">
        <w:rPr>
          <w:lang w:eastAsia="x-none"/>
        </w:rPr>
        <w:t>Option 1: Explicit indication via PDCCH</w:t>
      </w:r>
    </w:p>
    <w:p w14:paraId="67D8595A" w14:textId="77777777" w:rsidR="0098744F"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 T</w:t>
      </w:r>
      <w:r w:rsidRPr="00414006">
        <w:rPr>
          <w:lang w:eastAsia="x-none"/>
        </w:rPr>
        <w:t>he type of PDCCH (e.g., group common PDCCH or UE-specific PDCCH)</w:t>
      </w:r>
    </w:p>
    <w:p w14:paraId="71E8CBC0" w14:textId="77777777" w:rsidR="0098744F" w:rsidRPr="003F0D4A"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 Signaling details of the indication</w:t>
      </w:r>
    </w:p>
    <w:p w14:paraId="0ADD80D6" w14:textId="77777777" w:rsidR="0098744F" w:rsidRPr="00414006" w:rsidRDefault="0098744F" w:rsidP="0098744F">
      <w:pPr>
        <w:widowControl/>
        <w:numPr>
          <w:ilvl w:val="1"/>
          <w:numId w:val="8"/>
        </w:numPr>
        <w:autoSpaceDE/>
        <w:autoSpaceDN/>
        <w:spacing w:after="0"/>
        <w:jc w:val="left"/>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6EA43D6C" w14:textId="77777777" w:rsidR="0098744F" w:rsidRPr="00414006"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w:t>
      </w:r>
      <w:r w:rsidRPr="00414006">
        <w:rPr>
          <w:lang w:eastAsia="x-none"/>
        </w:rPr>
        <w:t xml:space="preserve"> </w:t>
      </w:r>
      <w:r>
        <w:rPr>
          <w:lang w:eastAsia="x-none"/>
        </w:rPr>
        <w:t>Details of the indication</w:t>
      </w:r>
    </w:p>
    <w:p w14:paraId="2DD55478" w14:textId="77777777" w:rsidR="0098744F" w:rsidRPr="00414006" w:rsidRDefault="0098744F" w:rsidP="0098744F">
      <w:pPr>
        <w:widowControl/>
        <w:numPr>
          <w:ilvl w:val="1"/>
          <w:numId w:val="8"/>
        </w:numPr>
        <w:autoSpaceDE/>
        <w:autoSpaceDN/>
        <w:spacing w:after="0"/>
        <w:jc w:val="left"/>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6C16395C" w14:textId="77777777" w:rsidR="0098744F" w:rsidRPr="00414006"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w:t>
      </w:r>
      <w:r w:rsidRPr="00414006">
        <w:rPr>
          <w:lang w:eastAsia="x-none"/>
        </w:rPr>
        <w:t xml:space="preserve"> </w:t>
      </w:r>
      <w:r>
        <w:rPr>
          <w:lang w:eastAsia="x-none"/>
        </w:rPr>
        <w:t>Which signals/channels or combination of signals/channels could be used by the UE</w:t>
      </w:r>
    </w:p>
    <w:p w14:paraId="2BA38059" w14:textId="77777777" w:rsidR="0098744F" w:rsidRPr="007522E2" w:rsidRDefault="0098744F" w:rsidP="0098744F">
      <w:pPr>
        <w:widowControl/>
        <w:numPr>
          <w:ilvl w:val="1"/>
          <w:numId w:val="8"/>
        </w:numPr>
        <w:autoSpaceDE/>
        <w:autoSpaceDN/>
        <w:spacing w:after="0"/>
        <w:jc w:val="left"/>
        <w:rPr>
          <w:lang w:eastAsia="x-none"/>
        </w:rPr>
      </w:pPr>
      <w:r w:rsidRPr="00414006">
        <w:rPr>
          <w:lang w:eastAsia="x-none"/>
        </w:rPr>
        <w:t>Note: Above options are not mutually exclusive</w:t>
      </w:r>
    </w:p>
    <w:p w14:paraId="05720F89" w14:textId="7F96B40B" w:rsidR="004C39B5" w:rsidRDefault="004C39B5" w:rsidP="00E96301">
      <w:pPr>
        <w:pStyle w:val="B10"/>
        <w:spacing w:before="120"/>
        <w:ind w:left="0" w:firstLine="0"/>
        <w:rPr>
          <w:lang w:val="en-US"/>
        </w:rPr>
      </w:pPr>
      <w:r>
        <w:rPr>
          <w:lang w:val="en-US"/>
        </w:rPr>
        <w:t>In RAN1 #97, it is further agreed:</w:t>
      </w:r>
    </w:p>
    <w:p w14:paraId="27261D8F" w14:textId="77777777" w:rsidR="004C39B5" w:rsidRDefault="004C39B5" w:rsidP="004C39B5">
      <w:r w:rsidRPr="00F45643">
        <w:rPr>
          <w:highlight w:val="green"/>
        </w:rPr>
        <w:t>Agreement:</w:t>
      </w:r>
    </w:p>
    <w:p w14:paraId="7C48C4A6" w14:textId="77777777" w:rsidR="004C39B5" w:rsidRPr="002C4816" w:rsidRDefault="004C39B5" w:rsidP="002C4816">
      <w:pPr>
        <w:spacing w:before="240" w:line="252" w:lineRule="auto"/>
        <w:rPr>
          <w:rFonts w:ascii="Calibri" w:hAnsi="Calibri"/>
          <w:sz w:val="24"/>
        </w:rPr>
      </w:pPr>
      <w:r w:rsidRPr="00C34CF5">
        <w:t xml:space="preserve">When GC-PDCCH is configured, explicit </w:t>
      </w:r>
      <w:r w:rsidRPr="00960F19">
        <w:t>indication via GC-PDCCH is supported as a mechanism to inform</w:t>
      </w:r>
      <w:r w:rsidRPr="00F73C0C">
        <w:t xml:space="preserve"> </w:t>
      </w:r>
      <w:r>
        <w:t xml:space="preserve">the </w:t>
      </w:r>
      <w:r w:rsidRPr="00F73C0C">
        <w:t xml:space="preserve">UE that one or more carriers and/or LBT bandwidths are not available </w:t>
      </w:r>
      <w:r>
        <w:t xml:space="preserve">or available </w:t>
      </w:r>
      <w:r w:rsidRPr="00F73C0C">
        <w:t>for DL reception, at least for slot(s) that are not at the beginning of DL transmission burst.</w:t>
      </w:r>
    </w:p>
    <w:p w14:paraId="0EACFC02" w14:textId="77777777" w:rsidR="004C39B5" w:rsidRPr="00F73C0C" w:rsidRDefault="004C39B5" w:rsidP="004C39B5">
      <w:pPr>
        <w:pStyle w:val="ListParagraph"/>
        <w:numPr>
          <w:ilvl w:val="0"/>
          <w:numId w:val="11"/>
        </w:numPr>
        <w:spacing w:before="240" w:line="252" w:lineRule="auto"/>
        <w:ind w:leftChars="0"/>
        <w:contextualSpacing/>
        <w:rPr>
          <w:rFonts w:ascii="Calibri" w:hAnsi="Calibri"/>
        </w:rPr>
      </w:pPr>
      <w:r w:rsidRPr="00F73C0C">
        <w:t>FFS: Signalling details of the indication, including e.g., the time domain validity of the indication</w:t>
      </w:r>
    </w:p>
    <w:p w14:paraId="1D4C9B31" w14:textId="77777777" w:rsidR="004C39B5" w:rsidRPr="00F73C0C" w:rsidRDefault="004C39B5" w:rsidP="004C39B5">
      <w:pPr>
        <w:pStyle w:val="ListParagraph"/>
        <w:numPr>
          <w:ilvl w:val="0"/>
          <w:numId w:val="11"/>
        </w:numPr>
        <w:spacing w:before="240" w:line="252" w:lineRule="auto"/>
        <w:ind w:leftChars="0"/>
        <w:contextualSpacing/>
      </w:pPr>
      <w:r w:rsidRPr="00F73C0C">
        <w:t>FFS: Whether and how to support the mechanism at the beginning of DL transmission burst</w:t>
      </w:r>
    </w:p>
    <w:p w14:paraId="1EEA5EB3" w14:textId="77777777" w:rsidR="004C39B5" w:rsidRDefault="004C39B5" w:rsidP="004C39B5">
      <w:pPr>
        <w:pStyle w:val="ListParagraph"/>
        <w:numPr>
          <w:ilvl w:val="0"/>
          <w:numId w:val="11"/>
        </w:numPr>
        <w:spacing w:before="240" w:line="252" w:lineRule="auto"/>
        <w:ind w:leftChars="0"/>
        <w:contextualSpacing/>
      </w:pPr>
      <w:r w:rsidRPr="00F73C0C">
        <w:t xml:space="preserve">FFS: </w:t>
      </w:r>
      <w:r>
        <w:t>Whether and h</w:t>
      </w:r>
      <w:r w:rsidRPr="00F73C0C">
        <w:t>ow to handle the case when GC-PDCCH i</w:t>
      </w:r>
      <w:r w:rsidRPr="00C34CF5">
        <w:t xml:space="preserve">s not configured </w:t>
      </w:r>
      <w:r>
        <w:t>or not received by the UE</w:t>
      </w:r>
    </w:p>
    <w:p w14:paraId="30238289" w14:textId="77777777" w:rsidR="004C39B5" w:rsidRPr="002C4816" w:rsidRDefault="004C39B5" w:rsidP="002C4816">
      <w:pPr>
        <w:rPr>
          <w:u w:val="single"/>
        </w:rPr>
      </w:pPr>
      <w:r w:rsidRPr="002C4816">
        <w:rPr>
          <w:u w:val="single"/>
        </w:rPr>
        <w:t>Conclusion:</w:t>
      </w:r>
    </w:p>
    <w:p w14:paraId="5D539038" w14:textId="77777777" w:rsidR="004C39B5" w:rsidRDefault="004C39B5" w:rsidP="00B86952">
      <w:pPr>
        <w:pStyle w:val="ListParagraph"/>
        <w:numPr>
          <w:ilvl w:val="0"/>
          <w:numId w:val="11"/>
        </w:numPr>
        <w:spacing w:line="252" w:lineRule="auto"/>
        <w:ind w:leftChars="0"/>
        <w:rPr>
          <w:rFonts w:ascii="Calibri" w:hAnsi="Calibri"/>
          <w:szCs w:val="20"/>
        </w:rPr>
      </w:pPr>
      <w:r>
        <w:t xml:space="preserve">A </w:t>
      </w:r>
      <w:r w:rsidRPr="00C34CF5">
        <w:t xml:space="preserve">UE </w:t>
      </w:r>
      <w:r>
        <w:t xml:space="preserve">can </w:t>
      </w:r>
      <w:r w:rsidRPr="00C34CF5">
        <w:t>receive</w:t>
      </w:r>
      <w:r>
        <w:t xml:space="preserve"> </w:t>
      </w:r>
      <w:r w:rsidRPr="00C34CF5">
        <w:t xml:space="preserve">a PDSCH </w:t>
      </w:r>
      <w:r>
        <w:t>scheduled</w:t>
      </w:r>
      <w:r w:rsidRPr="00C34CF5">
        <w:t xml:space="preserve"> within a</w:t>
      </w:r>
      <w:r>
        <w:t>n</w:t>
      </w:r>
      <w:r w:rsidRPr="00C34CF5">
        <w:t xml:space="preserve"> LBT bandwidth or over multiple LBT bandwidths</w:t>
      </w:r>
      <w:r>
        <w:t xml:space="preserve"> as per Rel-15 and current agreements in Rel-16.</w:t>
      </w:r>
    </w:p>
    <w:p w14:paraId="538618E2" w14:textId="5F53CD77" w:rsidR="004C39B5" w:rsidRDefault="004C39B5" w:rsidP="00E96301">
      <w:pPr>
        <w:pStyle w:val="B10"/>
        <w:spacing w:before="120"/>
        <w:ind w:left="0" w:firstLine="0"/>
        <w:rPr>
          <w:lang w:val="en-US"/>
        </w:rPr>
      </w:pPr>
      <w:r>
        <w:rPr>
          <w:lang w:val="en-US"/>
        </w:rPr>
        <w:t>In RAN #84, the essential and optimization features to be discussed in this agenda item have been identified as follows:</w:t>
      </w:r>
    </w:p>
    <w:p w14:paraId="2E11C3AD" w14:textId="77777777" w:rsidR="004C39B5" w:rsidRPr="004C39B5" w:rsidRDefault="004C39B5" w:rsidP="004C39B5">
      <w:r w:rsidRPr="002C4816">
        <w:rPr>
          <w:bCs/>
        </w:rPr>
        <w:t>Essential</w:t>
      </w:r>
    </w:p>
    <w:p w14:paraId="7A8C99CA" w14:textId="77777777" w:rsidR="004C39B5" w:rsidRPr="002C4816" w:rsidRDefault="004C39B5" w:rsidP="00B86952">
      <w:pPr>
        <w:pStyle w:val="ListParagraph"/>
        <w:numPr>
          <w:ilvl w:val="0"/>
          <w:numId w:val="11"/>
        </w:numPr>
        <w:spacing w:line="252" w:lineRule="auto"/>
        <w:ind w:leftChars="0"/>
      </w:pPr>
      <w:r w:rsidRPr="002C4816">
        <w:t>Coreset for wideband (multiple coresets with one or more per LBT subband or multi-cluster coreset with one cluster per subband)</w:t>
      </w:r>
    </w:p>
    <w:p w14:paraId="7EF4C155" w14:textId="77777777" w:rsidR="004C39B5" w:rsidRPr="004C39B5" w:rsidRDefault="004C39B5" w:rsidP="004C39B5">
      <w:r w:rsidRPr="002C4816">
        <w:rPr>
          <w:bCs/>
        </w:rPr>
        <w:t>Optimizations</w:t>
      </w:r>
    </w:p>
    <w:p w14:paraId="0EA9C9E6" w14:textId="77777777" w:rsidR="004C39B5" w:rsidRPr="003D3350" w:rsidRDefault="004C39B5" w:rsidP="00B86952">
      <w:pPr>
        <w:pStyle w:val="ListParagraph"/>
        <w:numPr>
          <w:ilvl w:val="0"/>
          <w:numId w:val="11"/>
        </w:numPr>
        <w:spacing w:line="252" w:lineRule="auto"/>
        <w:ind w:leftChars="0"/>
      </w:pPr>
      <w:r w:rsidRPr="003D3350">
        <w:t xml:space="preserve">If PUSCH Alt 2 is also supported </w:t>
      </w:r>
    </w:p>
    <w:p w14:paraId="772327FC" w14:textId="539B3CA3" w:rsidR="00E96301" w:rsidRPr="00E96301" w:rsidRDefault="00047356" w:rsidP="00E96301">
      <w:pPr>
        <w:pStyle w:val="B10"/>
        <w:spacing w:before="120"/>
        <w:ind w:left="0" w:firstLine="0"/>
        <w:rPr>
          <w:lang w:val="en-US"/>
        </w:rPr>
      </w:pPr>
      <w:r>
        <w:rPr>
          <w:lang w:val="en-US"/>
        </w:rPr>
        <w:t>In this paper, we discuss further details on wideband BWP operation.</w:t>
      </w:r>
    </w:p>
    <w:p w14:paraId="4BE62D3E" w14:textId="09F80E16" w:rsidR="006C349A" w:rsidRDefault="006C349A" w:rsidP="006C349A">
      <w:pPr>
        <w:pStyle w:val="Heading1"/>
        <w:kinsoku w:val="0"/>
        <w:spacing w:after="0"/>
      </w:pPr>
      <w:r>
        <w:lastRenderedPageBreak/>
        <w:t>DL</w:t>
      </w:r>
      <w:r w:rsidR="0094414E">
        <w:t xml:space="preserve"> wideband BWP operation</w:t>
      </w:r>
    </w:p>
    <w:p w14:paraId="5E6B3BB3" w14:textId="77777777" w:rsidR="00A32D96" w:rsidRDefault="00A32D96" w:rsidP="00A32D96">
      <w:pPr>
        <w:rPr>
          <w:lang w:val="en-GB" w:eastAsia="en-US"/>
        </w:rPr>
      </w:pPr>
      <w:r>
        <w:rPr>
          <w:lang w:val="en-GB" w:eastAsia="en-US"/>
        </w:rPr>
        <w:t>In this section, we discuss the following aspects of DL wideband BWP operation</w:t>
      </w:r>
    </w:p>
    <w:p w14:paraId="60639F85" w14:textId="1C1EBDDE" w:rsidR="00BC3E2F" w:rsidRDefault="00BC3E2F" w:rsidP="00DF3724">
      <w:pPr>
        <w:pStyle w:val="ListParagraph"/>
        <w:numPr>
          <w:ilvl w:val="0"/>
          <w:numId w:val="9"/>
        </w:numPr>
        <w:ind w:leftChars="0"/>
        <w:rPr>
          <w:lang w:val="en-GB" w:eastAsia="en-US"/>
        </w:rPr>
      </w:pPr>
      <w:r>
        <w:rPr>
          <w:lang w:val="en-GB" w:eastAsia="en-US"/>
        </w:rPr>
        <w:t>How to monitor the coreset</w:t>
      </w:r>
    </w:p>
    <w:p w14:paraId="04A0C310" w14:textId="7B608F75" w:rsidR="001B7DFF" w:rsidRPr="007D7058" w:rsidRDefault="001B7DFF" w:rsidP="00DF3724">
      <w:pPr>
        <w:pStyle w:val="ListParagraph"/>
        <w:numPr>
          <w:ilvl w:val="0"/>
          <w:numId w:val="9"/>
        </w:numPr>
        <w:ind w:leftChars="0"/>
        <w:rPr>
          <w:lang w:val="en-GB" w:eastAsia="en-US"/>
        </w:rPr>
      </w:pPr>
      <w:r>
        <w:rPr>
          <w:lang w:val="en-GB" w:eastAsia="en-US"/>
        </w:rPr>
        <w:t>Subband usage indication</w:t>
      </w:r>
    </w:p>
    <w:p w14:paraId="5CB57E88" w14:textId="3AE3DEF8" w:rsidR="00A32D96" w:rsidRDefault="00A32D96" w:rsidP="002C4816">
      <w:pPr>
        <w:pStyle w:val="Heading2"/>
      </w:pPr>
      <w:r>
        <w:t>2.1</w:t>
      </w:r>
      <w:r>
        <w:tab/>
        <w:t>Wideband BWP Coreset Configuration</w:t>
      </w:r>
    </w:p>
    <w:p w14:paraId="055D1183" w14:textId="296DA06C" w:rsidR="00A32D96" w:rsidRDefault="00A32D96">
      <w:pPr>
        <w:rPr>
          <w:lang w:val="en-GB" w:eastAsia="en-US"/>
        </w:rPr>
      </w:pPr>
      <w:r>
        <w:rPr>
          <w:lang w:val="en-GB" w:eastAsia="en-US"/>
        </w:rPr>
        <w:t>For wideband BWP operation,</w:t>
      </w:r>
      <w:r w:rsidR="00BC3E2F">
        <w:rPr>
          <w:lang w:val="en-GB" w:eastAsia="en-US"/>
        </w:rPr>
        <w:t xml:space="preserve"> the UE can be schedulable if a subset of subbands in the BWP pass LBT. Note that before LBT, </w:t>
      </w:r>
      <w:r w:rsidR="004D1DB8">
        <w:rPr>
          <w:lang w:val="en-GB" w:eastAsia="en-US"/>
        </w:rPr>
        <w:t xml:space="preserve">the gNB does not know which subband(s) can be used in the COT, and UE does not know which subband(s) will be active and carry PDCCH as well. </w:t>
      </w:r>
      <w:r w:rsidR="000967DC">
        <w:rPr>
          <w:lang w:val="en-GB" w:eastAsia="en-US"/>
        </w:rPr>
        <w:t>A</w:t>
      </w:r>
      <w:r w:rsidR="002B2682">
        <w:rPr>
          <w:lang w:val="en-GB" w:eastAsia="en-US"/>
        </w:rPr>
        <w:t xml:space="preserve"> simple solution is to</w:t>
      </w:r>
      <w:r w:rsidR="000967DC">
        <w:rPr>
          <w:lang w:val="en-GB" w:eastAsia="en-US"/>
        </w:rPr>
        <w:t xml:space="preserve"> define multiple coreset</w:t>
      </w:r>
      <w:r w:rsidR="002B2682">
        <w:rPr>
          <w:lang w:val="en-GB" w:eastAsia="en-US"/>
        </w:rPr>
        <w:t>s, one in each subband (</w:t>
      </w:r>
      <w:r w:rsidR="002B2682">
        <w:rPr>
          <w:lang w:val="en-GB" w:eastAsia="en-US"/>
        </w:rPr>
        <w:fldChar w:fldCharType="begin"/>
      </w:r>
      <w:r w:rsidR="002B2682">
        <w:rPr>
          <w:lang w:val="en-GB" w:eastAsia="en-US"/>
        </w:rPr>
        <w:instrText xml:space="preserve"> REF _Ref534829114 \h </w:instrText>
      </w:r>
      <w:r w:rsidR="002B2682">
        <w:rPr>
          <w:lang w:val="en-GB" w:eastAsia="en-US"/>
        </w:rPr>
        <w:fldChar w:fldCharType="separate"/>
      </w:r>
      <w:r w:rsidR="00162243">
        <w:rPr>
          <w:b/>
          <w:bCs/>
          <w:lang w:eastAsia="en-US"/>
        </w:rPr>
        <w:t>Error! Reference source not found.</w:t>
      </w:r>
      <w:r w:rsidR="002B2682">
        <w:rPr>
          <w:lang w:val="en-GB" w:eastAsia="en-US"/>
        </w:rPr>
        <w:fldChar w:fldCharType="end"/>
      </w:r>
      <w:r w:rsidR="000967DC">
        <w:rPr>
          <w:lang w:val="en-GB" w:eastAsia="en-US"/>
        </w:rPr>
        <w:t xml:space="preserve">). </w:t>
      </w:r>
      <w:r w:rsidR="002B2682">
        <w:rPr>
          <w:lang w:val="en-GB" w:eastAsia="en-US"/>
        </w:rPr>
        <w:t xml:space="preserve">Rel.15 NR has limitations </w:t>
      </w:r>
      <w:r w:rsidR="007D7058">
        <w:rPr>
          <w:lang w:val="en-GB" w:eastAsia="en-US"/>
        </w:rPr>
        <w:t xml:space="preserve">on the number of coresets </w:t>
      </w:r>
      <w:r w:rsidR="002B2682">
        <w:rPr>
          <w:lang w:val="en-GB" w:eastAsia="en-US"/>
        </w:rPr>
        <w:t xml:space="preserve">and </w:t>
      </w:r>
      <w:r w:rsidR="007D7058">
        <w:rPr>
          <w:lang w:val="en-GB" w:eastAsia="en-US"/>
        </w:rPr>
        <w:t xml:space="preserve">the </w:t>
      </w:r>
      <w:r w:rsidR="002B2682">
        <w:rPr>
          <w:lang w:val="en-GB" w:eastAsia="en-US"/>
        </w:rPr>
        <w:t xml:space="preserve">number of search space sets. </w:t>
      </w:r>
      <w:r>
        <w:rPr>
          <w:lang w:val="en-GB" w:eastAsia="en-US"/>
        </w:rPr>
        <w:t>In Rel.16 NR, under multi-TRP discussion, the number of coresets supportable per BWP is increased to 5 as a UE capability. For UEs with such capability, it is straight forward to reuse that capability to support per subband coreset configuration.</w:t>
      </w:r>
      <w:r w:rsidR="006E36C7">
        <w:rPr>
          <w:lang w:val="en-GB" w:eastAsia="en-US"/>
        </w:rPr>
        <w:t xml:space="preserve"> Of course, for UEs without such capability, the legacy restrictions apply, where in some subbands, there may not be any coreset configured.</w:t>
      </w:r>
    </w:p>
    <w:p w14:paraId="2A298F14" w14:textId="77777777" w:rsidR="006E36C7" w:rsidRDefault="006E36C7" w:rsidP="006E36C7">
      <w:pPr>
        <w:keepNext/>
      </w:pPr>
      <w:r w:rsidRPr="000967DC">
        <w:rPr>
          <w:lang w:eastAsia="en-US"/>
        </w:rPr>
        <w:object w:dxaOrig="13636" w:dyaOrig="4036" w14:anchorId="4527F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5pt;height:138.55pt" o:ole="">
            <v:imagedata r:id="rId13" o:title=""/>
          </v:shape>
          <o:OLEObject Type="Embed" ProgID="Visio.Drawing.15" ShapeID="_x0000_i1025" DrawAspect="Content" ObjectID="_1627467137" r:id="rId14"/>
        </w:object>
      </w:r>
    </w:p>
    <w:p w14:paraId="1762CE48" w14:textId="79BBAAF5" w:rsidR="006E36C7" w:rsidRPr="000967DC" w:rsidRDefault="006E36C7" w:rsidP="006E36C7">
      <w:pPr>
        <w:pStyle w:val="Caption"/>
        <w:jc w:val="center"/>
      </w:pPr>
      <w:r>
        <w:t xml:space="preserve">Figure </w:t>
      </w:r>
      <w:r>
        <w:fldChar w:fldCharType="begin"/>
      </w:r>
      <w:r>
        <w:instrText xml:space="preserve"> SEQ Figure \* ARABIC </w:instrText>
      </w:r>
      <w:r>
        <w:fldChar w:fldCharType="separate"/>
      </w:r>
      <w:r w:rsidR="00162243">
        <w:rPr>
          <w:noProof/>
        </w:rPr>
        <w:t>1</w:t>
      </w:r>
      <w:r>
        <w:fldChar w:fldCharType="end"/>
      </w:r>
      <w:r>
        <w:t>. Coreset configuration example with one coreset per subband</w:t>
      </w:r>
    </w:p>
    <w:p w14:paraId="46EA2C3B" w14:textId="553CAB96" w:rsidR="006E36C7" w:rsidRPr="002C4816" w:rsidRDefault="006E36C7">
      <w:pPr>
        <w:rPr>
          <w:b/>
          <w:lang w:val="en-GB" w:eastAsia="en-US"/>
        </w:rPr>
      </w:pPr>
      <w:bookmarkStart w:id="0" w:name="b1"/>
      <w:r w:rsidRPr="002C4816">
        <w:rPr>
          <w:b/>
          <w:lang w:val="en-GB" w:eastAsia="en-US"/>
        </w:rPr>
        <w:t xml:space="preserve">Observation </w:t>
      </w:r>
      <w:r w:rsidRPr="002C4816">
        <w:rPr>
          <w:b/>
          <w:lang w:val="en-GB" w:eastAsia="en-US"/>
        </w:rPr>
        <w:fldChar w:fldCharType="begin"/>
      </w:r>
      <w:r w:rsidRPr="002C4816">
        <w:rPr>
          <w:b/>
          <w:lang w:val="en-GB" w:eastAsia="en-US"/>
        </w:rPr>
        <w:instrText xml:space="preserve"> seq obs </w:instrText>
      </w:r>
      <w:r w:rsidRPr="002C4816">
        <w:rPr>
          <w:b/>
          <w:lang w:val="en-GB" w:eastAsia="en-US"/>
        </w:rPr>
        <w:fldChar w:fldCharType="separate"/>
      </w:r>
      <w:r w:rsidR="00162243">
        <w:rPr>
          <w:b/>
          <w:noProof/>
          <w:lang w:val="en-GB" w:eastAsia="en-US"/>
        </w:rPr>
        <w:t>1</w:t>
      </w:r>
      <w:r w:rsidRPr="002C4816">
        <w:rPr>
          <w:b/>
          <w:lang w:val="en-GB" w:eastAsia="en-US"/>
        </w:rPr>
        <w:fldChar w:fldCharType="end"/>
      </w:r>
      <w:r w:rsidRPr="002C4816">
        <w:rPr>
          <w:b/>
          <w:lang w:val="en-GB" w:eastAsia="en-US"/>
        </w:rPr>
        <w:t xml:space="preserve">. </w:t>
      </w:r>
      <w:r>
        <w:rPr>
          <w:b/>
          <w:lang w:val="en-GB" w:eastAsia="en-US"/>
        </w:rPr>
        <w:t>Restricting coreset to be within one subband is naturally supported by legacy NR. The number of coresets supported per BWP is UE capability and there is no need to increase that from NR-U perspective.</w:t>
      </w:r>
    </w:p>
    <w:bookmarkEnd w:id="0"/>
    <w:p w14:paraId="22B39A00" w14:textId="6DE7CBA3" w:rsidR="00787477" w:rsidRDefault="006E36C7">
      <w:pPr>
        <w:rPr>
          <w:lang w:val="en-GB" w:eastAsia="en-US"/>
        </w:rPr>
      </w:pPr>
      <w:r>
        <w:rPr>
          <w:lang w:val="en-GB" w:eastAsia="en-US"/>
        </w:rPr>
        <w:t xml:space="preserve">Another way </w:t>
      </w:r>
      <w:r w:rsidR="002B2682">
        <w:rPr>
          <w:lang w:val="en-GB" w:eastAsia="en-US"/>
        </w:rPr>
        <w:t xml:space="preserve">to configure coreset </w:t>
      </w:r>
      <w:r>
        <w:rPr>
          <w:lang w:val="en-GB" w:eastAsia="en-US"/>
        </w:rPr>
        <w:t xml:space="preserve">in Rel.15 NR </w:t>
      </w:r>
      <w:r w:rsidR="002B2682">
        <w:rPr>
          <w:lang w:val="en-GB" w:eastAsia="en-US"/>
        </w:rPr>
        <w:t>is forming the coreset</w:t>
      </w:r>
      <w:r w:rsidR="000967DC">
        <w:rPr>
          <w:lang w:val="en-GB" w:eastAsia="en-US"/>
        </w:rPr>
        <w:t xml:space="preserve"> by RBs in </w:t>
      </w:r>
      <w:r w:rsidR="00787477">
        <w:rPr>
          <w:lang w:val="en-GB" w:eastAsia="en-US"/>
        </w:rPr>
        <w:t>multiple cluster</w:t>
      </w:r>
      <w:r w:rsidR="000967DC">
        <w:rPr>
          <w:lang w:val="en-GB" w:eastAsia="en-US"/>
        </w:rPr>
        <w:t xml:space="preserve">s, where each cluster is over a continuous </w:t>
      </w:r>
      <w:r w:rsidR="002B2682">
        <w:rPr>
          <w:lang w:val="en-GB" w:eastAsia="en-US"/>
        </w:rPr>
        <w:t>set of RBs. For example, t</w:t>
      </w:r>
      <w:r w:rsidR="000967DC">
        <w:rPr>
          <w:lang w:val="en-GB" w:eastAsia="en-US"/>
        </w:rPr>
        <w:t xml:space="preserve">o support </w:t>
      </w:r>
      <w:r>
        <w:rPr>
          <w:lang w:val="en-GB" w:eastAsia="en-US"/>
        </w:rPr>
        <w:t>BWP of</w:t>
      </w:r>
      <w:r w:rsidR="000967DC">
        <w:rPr>
          <w:lang w:val="en-GB" w:eastAsia="en-US"/>
        </w:rPr>
        <w:t xml:space="preserve"> 80MHz, the gNB can configure a coreset with </w:t>
      </w:r>
      <w:r w:rsidR="002B2682">
        <w:rPr>
          <w:lang w:val="en-GB" w:eastAsia="en-US"/>
        </w:rPr>
        <w:t>4 clusters, where each cluster is localized in one subband (</w:t>
      </w:r>
      <w:r w:rsidR="002B2682">
        <w:rPr>
          <w:lang w:val="en-GB" w:eastAsia="en-US"/>
        </w:rPr>
        <w:fldChar w:fldCharType="begin"/>
      </w:r>
      <w:r w:rsidR="002B2682">
        <w:rPr>
          <w:lang w:val="en-GB" w:eastAsia="en-US"/>
        </w:rPr>
        <w:instrText xml:space="preserve"> REF _Ref534829331 \h </w:instrText>
      </w:r>
      <w:r w:rsidR="002B2682">
        <w:rPr>
          <w:lang w:val="en-GB" w:eastAsia="en-US"/>
        </w:rPr>
      </w:r>
      <w:r w:rsidR="002B2682">
        <w:rPr>
          <w:lang w:val="en-GB" w:eastAsia="en-US"/>
        </w:rPr>
        <w:fldChar w:fldCharType="separate"/>
      </w:r>
      <w:r w:rsidR="00162243">
        <w:t xml:space="preserve">Figure </w:t>
      </w:r>
      <w:r w:rsidR="00162243">
        <w:rPr>
          <w:noProof/>
        </w:rPr>
        <w:t>2</w:t>
      </w:r>
      <w:r w:rsidR="002B2682">
        <w:rPr>
          <w:lang w:val="en-GB" w:eastAsia="en-US"/>
        </w:rPr>
        <w:fldChar w:fldCharType="end"/>
      </w:r>
      <w:r w:rsidR="002B2682">
        <w:rPr>
          <w:lang w:val="en-GB" w:eastAsia="en-US"/>
        </w:rPr>
        <w:t xml:space="preserve">, </w:t>
      </w:r>
      <w:r w:rsidR="002B2682">
        <w:rPr>
          <w:lang w:val="en-GB" w:eastAsia="en-US"/>
        </w:rPr>
        <w:fldChar w:fldCharType="begin"/>
      </w:r>
      <w:r w:rsidR="002B2682">
        <w:rPr>
          <w:lang w:val="en-GB" w:eastAsia="en-US"/>
        </w:rPr>
        <w:instrText xml:space="preserve"> REF _Ref534829334 \h </w:instrText>
      </w:r>
      <w:r w:rsidR="002B2682">
        <w:rPr>
          <w:lang w:val="en-GB" w:eastAsia="en-US"/>
        </w:rPr>
      </w:r>
      <w:r w:rsidR="002B2682">
        <w:rPr>
          <w:lang w:val="en-GB" w:eastAsia="en-US"/>
        </w:rPr>
        <w:fldChar w:fldCharType="separate"/>
      </w:r>
      <w:r w:rsidR="00162243">
        <w:t xml:space="preserve">Figure </w:t>
      </w:r>
      <w:r w:rsidR="00162243">
        <w:rPr>
          <w:noProof/>
        </w:rPr>
        <w:t>3</w:t>
      </w:r>
      <w:r w:rsidR="002B2682">
        <w:rPr>
          <w:lang w:val="en-GB" w:eastAsia="en-US"/>
        </w:rPr>
        <w:fldChar w:fldCharType="end"/>
      </w:r>
      <w:r w:rsidR="002B2682">
        <w:rPr>
          <w:lang w:val="en-GB" w:eastAsia="en-US"/>
        </w:rPr>
        <w:t>). The coreset can be interleaved (</w:t>
      </w:r>
      <w:r w:rsidR="002B2682">
        <w:rPr>
          <w:lang w:val="en-GB" w:eastAsia="en-US"/>
        </w:rPr>
        <w:fldChar w:fldCharType="begin"/>
      </w:r>
      <w:r w:rsidR="002B2682">
        <w:rPr>
          <w:lang w:val="en-GB" w:eastAsia="en-US"/>
        </w:rPr>
        <w:instrText xml:space="preserve"> REF _Ref534829331 \h </w:instrText>
      </w:r>
      <w:r w:rsidR="002B2682">
        <w:rPr>
          <w:lang w:val="en-GB" w:eastAsia="en-US"/>
        </w:rPr>
      </w:r>
      <w:r w:rsidR="002B2682">
        <w:rPr>
          <w:lang w:val="en-GB" w:eastAsia="en-US"/>
        </w:rPr>
        <w:fldChar w:fldCharType="separate"/>
      </w:r>
      <w:r w:rsidR="00162243">
        <w:t xml:space="preserve">Figure </w:t>
      </w:r>
      <w:r w:rsidR="00162243">
        <w:rPr>
          <w:noProof/>
        </w:rPr>
        <w:t>2</w:t>
      </w:r>
      <w:r w:rsidR="002B2682">
        <w:rPr>
          <w:lang w:val="en-GB" w:eastAsia="en-US"/>
        </w:rPr>
        <w:fldChar w:fldCharType="end"/>
      </w:r>
      <w:r w:rsidR="002B2682">
        <w:rPr>
          <w:lang w:val="en-GB" w:eastAsia="en-US"/>
        </w:rPr>
        <w:t>) or localized (</w:t>
      </w:r>
      <w:r w:rsidR="002B2682">
        <w:rPr>
          <w:lang w:val="en-GB" w:eastAsia="en-US"/>
        </w:rPr>
        <w:fldChar w:fldCharType="begin"/>
      </w:r>
      <w:r w:rsidR="002B2682">
        <w:rPr>
          <w:lang w:val="en-GB" w:eastAsia="en-US"/>
        </w:rPr>
        <w:instrText xml:space="preserve"> REF _Ref534829334 \h </w:instrText>
      </w:r>
      <w:r w:rsidR="002B2682">
        <w:rPr>
          <w:lang w:val="en-GB" w:eastAsia="en-US"/>
        </w:rPr>
      </w:r>
      <w:r w:rsidR="002B2682">
        <w:rPr>
          <w:lang w:val="en-GB" w:eastAsia="en-US"/>
        </w:rPr>
        <w:fldChar w:fldCharType="separate"/>
      </w:r>
      <w:r w:rsidR="00162243">
        <w:t xml:space="preserve">Figure </w:t>
      </w:r>
      <w:r w:rsidR="00162243">
        <w:rPr>
          <w:noProof/>
        </w:rPr>
        <w:t>3</w:t>
      </w:r>
      <w:r w:rsidR="002B2682">
        <w:rPr>
          <w:lang w:val="en-GB" w:eastAsia="en-US"/>
        </w:rPr>
        <w:fldChar w:fldCharType="end"/>
      </w:r>
      <w:r w:rsidR="002B2682">
        <w:rPr>
          <w:lang w:val="en-GB" w:eastAsia="en-US"/>
        </w:rPr>
        <w:t>). When a subset of subbands pass LBT, only the clusters of the coreset within those subbands will be transmitted.</w:t>
      </w:r>
      <w:r w:rsidR="0098744F">
        <w:rPr>
          <w:lang w:val="en-GB" w:eastAsia="en-US"/>
        </w:rPr>
        <w:t xml:space="preserve"> One issue to note is, the Rel.15 NR coreset definition is using a bitmap starting from point A with a resolution of 6 RBs. For NR-U, in order to place the 48RBs for 30KHz SCS and 96 RBs for 15KHz SCS close to the middle of each 20MHz subband, higher resolution may be needed than the 6RB. Some enhancement on how to configure the coreset might be needed.</w:t>
      </w:r>
    </w:p>
    <w:p w14:paraId="008F0A6E" w14:textId="2542C554" w:rsidR="000967DC" w:rsidRDefault="002B2682">
      <w:pPr>
        <w:rPr>
          <w:lang w:val="en-GB" w:eastAsia="en-US"/>
        </w:rPr>
      </w:pPr>
      <w:r>
        <w:rPr>
          <w:lang w:val="en-GB" w:eastAsia="en-US"/>
        </w:rPr>
        <w:t xml:space="preserve">In interleaved coreset case, each PDCCH will have some REGs in each cluster (the parameters of the coreset and search space may need to be picked carefully to achieve this goal). </w:t>
      </w:r>
      <w:r w:rsidR="007D7058">
        <w:rPr>
          <w:lang w:val="en-GB" w:eastAsia="en-US"/>
        </w:rPr>
        <w:t>In this case,</w:t>
      </w:r>
      <w:r>
        <w:rPr>
          <w:lang w:val="en-GB" w:eastAsia="en-US"/>
        </w:rPr>
        <w:t xml:space="preserve"> even </w:t>
      </w:r>
      <w:r w:rsidR="007D7058">
        <w:rPr>
          <w:lang w:val="en-GB" w:eastAsia="en-US"/>
        </w:rPr>
        <w:t xml:space="preserve">if </w:t>
      </w:r>
      <w:r>
        <w:rPr>
          <w:lang w:val="en-GB" w:eastAsia="en-US"/>
        </w:rPr>
        <w:t>some of the clusters are punctured, the UE can still decode the PDCCH using the remaining REGs for the PDCCH.</w:t>
      </w:r>
    </w:p>
    <w:p w14:paraId="463CD9F4" w14:textId="0AF1A940" w:rsidR="000967DC" w:rsidRDefault="000967DC">
      <w:pPr>
        <w:rPr>
          <w:lang w:val="en-GB" w:eastAsia="en-US"/>
        </w:rPr>
      </w:pPr>
      <w:r w:rsidRPr="000967DC">
        <w:rPr>
          <w:lang w:eastAsia="en-US"/>
        </w:rPr>
        <w:object w:dxaOrig="13351" w:dyaOrig="4336" w14:anchorId="5A480165">
          <v:shape id="_x0000_i1027" type="#_x0000_t75" style="width:468pt;height:152.15pt" o:ole="">
            <v:imagedata r:id="rId15" o:title=""/>
          </v:shape>
          <o:OLEObject Type="Embed" ProgID="Visio.Drawing.15" ShapeID="_x0000_i1027" DrawAspect="Content" ObjectID="_1627467138" r:id="rId16"/>
        </w:object>
      </w:r>
    </w:p>
    <w:p w14:paraId="15984AB0" w14:textId="18DDD9B2" w:rsidR="002B2682" w:rsidRPr="000967DC" w:rsidRDefault="002B2682" w:rsidP="00DB1E3C">
      <w:pPr>
        <w:pStyle w:val="Caption"/>
        <w:jc w:val="center"/>
      </w:pPr>
      <w:bookmarkStart w:id="1" w:name="_Ref534829331"/>
      <w:r>
        <w:t xml:space="preserve">Figure </w:t>
      </w:r>
      <w:r>
        <w:fldChar w:fldCharType="begin"/>
      </w:r>
      <w:r>
        <w:instrText xml:space="preserve"> SEQ Figure \* ARABIC </w:instrText>
      </w:r>
      <w:r>
        <w:fldChar w:fldCharType="separate"/>
      </w:r>
      <w:r w:rsidR="00162243">
        <w:rPr>
          <w:noProof/>
        </w:rPr>
        <w:t>2</w:t>
      </w:r>
      <w:r>
        <w:fldChar w:fldCharType="end"/>
      </w:r>
      <w:bookmarkEnd w:id="1"/>
      <w:r>
        <w:t>. Coreset configuration example with one interleaved discontinuous coreset over all subbands</w:t>
      </w:r>
    </w:p>
    <w:p w14:paraId="0785BCC8" w14:textId="17BF246C" w:rsidR="002B2682" w:rsidRDefault="002B2682" w:rsidP="002B2682">
      <w:pPr>
        <w:rPr>
          <w:lang w:val="en-GB" w:eastAsia="en-US"/>
        </w:rPr>
      </w:pPr>
      <w:r>
        <w:rPr>
          <w:lang w:val="en-GB" w:eastAsia="en-US"/>
        </w:rPr>
        <w:t xml:space="preserve">In localized coreset case, each PDCCH will be localized in one cluster (the parameters of the coreset and search space may need to be picked carefully to achieve this goal). If some of the clusters are punctured, the PDCCH in the remaining clusters will not be affected and can be decoded. </w:t>
      </w:r>
    </w:p>
    <w:p w14:paraId="345F4551" w14:textId="74440F6E" w:rsidR="000967DC" w:rsidRDefault="000967DC">
      <w:pPr>
        <w:rPr>
          <w:lang w:val="en-GB" w:eastAsia="en-US"/>
        </w:rPr>
      </w:pPr>
      <w:r w:rsidRPr="000967DC">
        <w:rPr>
          <w:lang w:eastAsia="en-US"/>
        </w:rPr>
        <w:object w:dxaOrig="13636" w:dyaOrig="4036" w14:anchorId="1BDDFB0D">
          <v:shape id="_x0000_i1028" type="#_x0000_t75" style="width:469.35pt;height:138.55pt" o:ole="">
            <v:imagedata r:id="rId17" o:title=""/>
          </v:shape>
          <o:OLEObject Type="Embed" ProgID="Visio.Drawing.15" ShapeID="_x0000_i1028" DrawAspect="Content" ObjectID="_1627467139" r:id="rId18"/>
        </w:object>
      </w:r>
    </w:p>
    <w:p w14:paraId="0CF663FB" w14:textId="2BCE6AE8" w:rsidR="002B2682" w:rsidRDefault="002B2682" w:rsidP="00DB1E3C">
      <w:pPr>
        <w:pStyle w:val="Caption"/>
        <w:jc w:val="center"/>
      </w:pPr>
      <w:bookmarkStart w:id="2" w:name="_Ref534829334"/>
      <w:r>
        <w:t xml:space="preserve">Figure </w:t>
      </w:r>
      <w:r>
        <w:fldChar w:fldCharType="begin"/>
      </w:r>
      <w:r>
        <w:instrText xml:space="preserve"> SEQ Figure \* ARABIC </w:instrText>
      </w:r>
      <w:r>
        <w:fldChar w:fldCharType="separate"/>
      </w:r>
      <w:r w:rsidR="00162243">
        <w:rPr>
          <w:noProof/>
        </w:rPr>
        <w:t>3</w:t>
      </w:r>
      <w:r>
        <w:fldChar w:fldCharType="end"/>
      </w:r>
      <w:bookmarkEnd w:id="2"/>
      <w:r>
        <w:t>. Coreset configuration example with one localized discontinuous coreset over all subbands</w:t>
      </w:r>
    </w:p>
    <w:p w14:paraId="28DBD179" w14:textId="2905B7E2" w:rsidR="006E36C7" w:rsidRPr="00746892" w:rsidRDefault="006E36C7" w:rsidP="006E36C7">
      <w:pPr>
        <w:rPr>
          <w:b/>
          <w:lang w:val="en-GB" w:eastAsia="en-US"/>
        </w:rPr>
      </w:pPr>
      <w:bookmarkStart w:id="3" w:name="b3"/>
      <w:r w:rsidRPr="00746892">
        <w:rPr>
          <w:b/>
          <w:lang w:val="en-GB" w:eastAsia="en-US"/>
        </w:rPr>
        <w:t xml:space="preserve">Observation </w:t>
      </w:r>
      <w:r w:rsidRPr="00746892">
        <w:rPr>
          <w:b/>
          <w:lang w:val="en-GB" w:eastAsia="en-US"/>
        </w:rPr>
        <w:fldChar w:fldCharType="begin"/>
      </w:r>
      <w:r w:rsidRPr="00746892">
        <w:rPr>
          <w:b/>
          <w:lang w:val="en-GB" w:eastAsia="en-US"/>
        </w:rPr>
        <w:instrText xml:space="preserve"> seq obs </w:instrText>
      </w:r>
      <w:r w:rsidRPr="00746892">
        <w:rPr>
          <w:b/>
          <w:lang w:val="en-GB" w:eastAsia="en-US"/>
        </w:rPr>
        <w:fldChar w:fldCharType="separate"/>
      </w:r>
      <w:r w:rsidR="00162243">
        <w:rPr>
          <w:b/>
          <w:noProof/>
          <w:lang w:val="en-GB" w:eastAsia="en-US"/>
        </w:rPr>
        <w:t>2</w:t>
      </w:r>
      <w:r w:rsidRPr="00746892">
        <w:rPr>
          <w:b/>
          <w:lang w:val="en-GB" w:eastAsia="en-US"/>
        </w:rPr>
        <w:fldChar w:fldCharType="end"/>
      </w:r>
      <w:r w:rsidRPr="00746892">
        <w:rPr>
          <w:b/>
          <w:lang w:val="en-GB" w:eastAsia="en-US"/>
        </w:rPr>
        <w:t xml:space="preserve">. </w:t>
      </w:r>
      <w:r>
        <w:rPr>
          <w:b/>
          <w:lang w:val="en-GB" w:eastAsia="en-US"/>
        </w:rPr>
        <w:t>Multi-cluster coreset in Rel.15 NR is still useful for NR-U and there is no need to remove that.</w:t>
      </w:r>
    </w:p>
    <w:bookmarkEnd w:id="3"/>
    <w:p w14:paraId="64798CAE" w14:textId="48CDF908" w:rsidR="008B5CD1" w:rsidRPr="002C4816" w:rsidRDefault="008B5CD1" w:rsidP="002C4816">
      <w:pPr>
        <w:pStyle w:val="Heading2"/>
      </w:pPr>
      <w:r>
        <w:t>2.2</w:t>
      </w:r>
      <w:r>
        <w:tab/>
        <w:t>Subband Usage Indication in GC-PDCCH</w:t>
      </w:r>
    </w:p>
    <w:p w14:paraId="3D1BD54F" w14:textId="466619BE" w:rsidR="0098744F" w:rsidRPr="002C4816" w:rsidRDefault="00E001BA" w:rsidP="0098744F">
      <w:pPr>
        <w:rPr>
          <w:lang w:eastAsia="en-US"/>
        </w:rPr>
      </w:pPr>
      <w:r>
        <w:rPr>
          <w:lang w:val="en-GB" w:eastAsia="en-US"/>
        </w:rPr>
        <w:t>In RAN1 #97, it was agreed “</w:t>
      </w:r>
      <w:r w:rsidRPr="00E001BA">
        <w:rPr>
          <w:lang w:val="en-GB" w:eastAsia="en-US"/>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r>
        <w:rPr>
          <w:lang w:val="en-GB" w:eastAsia="en-US"/>
        </w:rPr>
        <w:t xml:space="preserve">”. </w:t>
      </w:r>
      <w:proofErr w:type="spellStart"/>
      <w:r w:rsidR="00C87609">
        <w:rPr>
          <w:lang w:val="en-GB" w:eastAsia="en-US"/>
        </w:rPr>
        <w:t>We</w:t>
      </w:r>
      <w:r>
        <w:rPr>
          <w:lang w:val="en-GB" w:eastAsia="en-US"/>
        </w:rPr>
        <w:t>For</w:t>
      </w:r>
      <w:proofErr w:type="spellEnd"/>
      <w:r>
        <w:rPr>
          <w:lang w:val="en-GB" w:eastAsia="en-US"/>
        </w:rPr>
        <w:t xml:space="preserve"> the beginning of a CO, since COT-SI is pre-generate</w:t>
      </w:r>
      <w:r w:rsidR="00C87609">
        <w:rPr>
          <w:lang w:val="en-GB" w:eastAsia="en-US"/>
        </w:rPr>
        <w:t>d</w:t>
      </w:r>
      <w:r>
        <w:rPr>
          <w:lang w:val="en-GB" w:eastAsia="en-US"/>
        </w:rPr>
        <w:t xml:space="preserve">, the gNB does not </w:t>
      </w:r>
      <w:r w:rsidR="00C87609">
        <w:rPr>
          <w:lang w:val="en-GB" w:eastAsia="en-US"/>
        </w:rPr>
        <w:t xml:space="preserve">know which subbands pass LBT when the COT-SI is generated. Therefore, if COT-SI is transmitted </w:t>
      </w:r>
      <w:proofErr w:type="spellStart"/>
      <w:proofErr w:type="gramStart"/>
      <w:r w:rsidR="00C87609">
        <w:rPr>
          <w:lang w:val="en-GB" w:eastAsia="en-US"/>
        </w:rPr>
        <w:t>a</w:t>
      </w:r>
      <w:proofErr w:type="spellEnd"/>
      <w:r w:rsidR="00C87609">
        <w:rPr>
          <w:lang w:val="en-GB" w:eastAsia="en-US"/>
        </w:rPr>
        <w:t xml:space="preserve"> the</w:t>
      </w:r>
      <w:proofErr w:type="gramEnd"/>
      <w:r w:rsidR="00C87609">
        <w:rPr>
          <w:lang w:val="en-GB" w:eastAsia="en-US"/>
        </w:rPr>
        <w:t xml:space="preserve"> beginning of the coreset, a reserved value should be used to indicate the subband usage, which implies the gNB does not yet know the subband usage. The UE should recover the subband usage in later transmissions of the COT-SI in the CO. </w:t>
      </w:r>
    </w:p>
    <w:p w14:paraId="6510E059" w14:textId="58D0DE7F" w:rsidR="00C87609" w:rsidRDefault="0098744F" w:rsidP="0098744F">
      <w:pPr>
        <w:rPr>
          <w:b/>
          <w:lang w:val="en-GB" w:eastAsia="en-US"/>
        </w:rPr>
      </w:pPr>
      <w:bookmarkStart w:id="4" w:name="b5"/>
      <w:r w:rsidRPr="0098744F">
        <w:rPr>
          <w:b/>
          <w:lang w:val="en-GB" w:eastAsia="en-US"/>
        </w:rPr>
        <w:t xml:space="preserve">Proposal </w:t>
      </w:r>
      <w:r w:rsidRPr="0098744F">
        <w:rPr>
          <w:b/>
          <w:lang w:val="en-GB" w:eastAsia="en-US"/>
        </w:rPr>
        <w:fldChar w:fldCharType="begin"/>
      </w:r>
      <w:r w:rsidRPr="0098744F">
        <w:rPr>
          <w:b/>
          <w:lang w:val="en-GB" w:eastAsia="en-US"/>
        </w:rPr>
        <w:instrText xml:space="preserve"> seq prop </w:instrText>
      </w:r>
      <w:r w:rsidRPr="0098744F">
        <w:rPr>
          <w:b/>
          <w:lang w:val="en-GB" w:eastAsia="en-US"/>
        </w:rPr>
        <w:fldChar w:fldCharType="separate"/>
      </w:r>
      <w:r w:rsidR="00162243">
        <w:rPr>
          <w:b/>
          <w:noProof/>
          <w:lang w:val="en-GB" w:eastAsia="en-US"/>
        </w:rPr>
        <w:t>1</w:t>
      </w:r>
      <w:r w:rsidRPr="0098744F">
        <w:rPr>
          <w:b/>
          <w:lang w:val="en-GB" w:eastAsia="en-US"/>
        </w:rPr>
        <w:fldChar w:fldCharType="end"/>
      </w:r>
      <w:r w:rsidRPr="0098744F">
        <w:rPr>
          <w:b/>
          <w:lang w:val="en-GB" w:eastAsia="en-US"/>
        </w:rPr>
        <w:t xml:space="preserve">. </w:t>
      </w:r>
      <w:r w:rsidR="00C87609">
        <w:rPr>
          <w:b/>
          <w:lang w:val="en-GB" w:eastAsia="en-US"/>
        </w:rPr>
        <w:t>A bitmap in GC-PDCCH is used to indicate the LBT bandwidth or carrier usage. All “0” bitmap is r</w:t>
      </w:r>
      <w:r>
        <w:rPr>
          <w:b/>
          <w:lang w:val="en-GB" w:eastAsia="en-US"/>
        </w:rPr>
        <w:t>eserve</w:t>
      </w:r>
      <w:r w:rsidR="00C87609">
        <w:rPr>
          <w:b/>
          <w:lang w:val="en-GB" w:eastAsia="en-US"/>
        </w:rPr>
        <w:t xml:space="preserve">s to indicate the LBT bandwidth or carrier usage is not known </w:t>
      </w:r>
      <w:proofErr w:type="gramStart"/>
      <w:r w:rsidR="00C87609">
        <w:rPr>
          <w:b/>
          <w:lang w:val="en-GB" w:eastAsia="en-US"/>
        </w:rPr>
        <w:t>at the moment</w:t>
      </w:r>
      <w:proofErr w:type="gramEnd"/>
      <w:r w:rsidR="00C87609">
        <w:rPr>
          <w:b/>
          <w:lang w:val="en-GB" w:eastAsia="en-US"/>
        </w:rPr>
        <w:t xml:space="preserve"> the GC-PDCCH is generated.</w:t>
      </w:r>
    </w:p>
    <w:bookmarkEnd w:id="4"/>
    <w:p w14:paraId="1CAD1347" w14:textId="65E5DB17" w:rsidR="00E910E8" w:rsidRPr="00746892" w:rsidRDefault="00E910E8" w:rsidP="00E910E8">
      <w:pPr>
        <w:rPr>
          <w:lang w:val="en-GB" w:eastAsia="en-US"/>
        </w:rPr>
      </w:pPr>
      <w:r>
        <w:rPr>
          <w:lang w:val="en-GB" w:eastAsia="en-US"/>
        </w:rPr>
        <w:t xml:space="preserve">When subband usage information is provided by gNB, the UE needs to translate that to the exact set of RBs usable. This is especially important for UL transmission in the same CO. gNB is responsible to identify which set or RBs can be used under different LBT passing combinations following the local regulations. The guard band needed between adjacent subbands depends on the regulation. The information should be provided by gNB, </w:t>
      </w:r>
      <w:proofErr w:type="gramStart"/>
      <w:r>
        <w:rPr>
          <w:lang w:val="en-GB" w:eastAsia="en-US"/>
        </w:rPr>
        <w:t>similar to</w:t>
      </w:r>
      <w:proofErr w:type="gramEnd"/>
      <w:r>
        <w:rPr>
          <w:lang w:val="en-GB" w:eastAsia="en-US"/>
        </w:rPr>
        <w:t xml:space="preserve"> BWP configuration. The configuration can be either per cell or per BWP. </w:t>
      </w:r>
    </w:p>
    <w:p w14:paraId="2EC6AE9F" w14:textId="4ADCFFBE" w:rsidR="00F80C50" w:rsidRDefault="00F80C50" w:rsidP="00F80C50">
      <w:pPr>
        <w:rPr>
          <w:lang w:val="en-GB" w:eastAsia="en-US"/>
        </w:rPr>
      </w:pPr>
      <w:r w:rsidRPr="000967DC">
        <w:rPr>
          <w:lang w:eastAsia="en-US"/>
        </w:rPr>
        <w:object w:dxaOrig="13726" w:dyaOrig="2835" w14:anchorId="522D4BED">
          <v:shape id="_x0000_i1029" type="#_x0000_t75" style="width:472.1pt;height:97.15pt" o:ole="">
            <v:imagedata r:id="rId19" o:title=""/>
          </v:shape>
          <o:OLEObject Type="Embed" ProgID="Visio.Drawing.15" ShapeID="_x0000_i1029" DrawAspect="Content" ObjectID="_1627467140" r:id="rId20"/>
        </w:object>
      </w:r>
    </w:p>
    <w:p w14:paraId="1725D657" w14:textId="20C40F7B" w:rsidR="00F80C50" w:rsidRDefault="00F80C50" w:rsidP="00F80C50">
      <w:pPr>
        <w:pStyle w:val="Caption"/>
        <w:jc w:val="center"/>
      </w:pPr>
      <w:r>
        <w:t xml:space="preserve">Figure </w:t>
      </w:r>
      <w:r>
        <w:fldChar w:fldCharType="begin"/>
      </w:r>
      <w:r>
        <w:instrText xml:space="preserve"> SEQ Figure \* ARABIC </w:instrText>
      </w:r>
      <w:r>
        <w:fldChar w:fldCharType="separate"/>
      </w:r>
      <w:r w:rsidR="00162243">
        <w:rPr>
          <w:noProof/>
        </w:rPr>
        <w:t>4</w:t>
      </w:r>
      <w:r>
        <w:fldChar w:fldCharType="end"/>
      </w:r>
      <w:r>
        <w:t>. Subband and guard band configuration in a BWP</w:t>
      </w:r>
    </w:p>
    <w:p w14:paraId="58470B9D" w14:textId="403D02E0" w:rsidR="00F80C50" w:rsidRDefault="00F80C50" w:rsidP="00F80C50">
      <w:pPr>
        <w:rPr>
          <w:b/>
          <w:lang w:val="en-GB" w:eastAsia="en-US"/>
        </w:rPr>
      </w:pPr>
      <w:bookmarkStart w:id="5" w:name="b6"/>
      <w:r w:rsidRPr="0098744F">
        <w:rPr>
          <w:b/>
          <w:lang w:val="en-GB" w:eastAsia="en-US"/>
        </w:rPr>
        <w:t xml:space="preserve">Proposal </w:t>
      </w:r>
      <w:r w:rsidRPr="0098744F">
        <w:rPr>
          <w:b/>
          <w:lang w:val="en-GB" w:eastAsia="en-US"/>
        </w:rPr>
        <w:fldChar w:fldCharType="begin"/>
      </w:r>
      <w:r w:rsidRPr="0098744F">
        <w:rPr>
          <w:b/>
          <w:lang w:val="en-GB" w:eastAsia="en-US"/>
        </w:rPr>
        <w:instrText xml:space="preserve"> seq prop </w:instrText>
      </w:r>
      <w:r w:rsidRPr="0098744F">
        <w:rPr>
          <w:b/>
          <w:lang w:val="en-GB" w:eastAsia="en-US"/>
        </w:rPr>
        <w:fldChar w:fldCharType="separate"/>
      </w:r>
      <w:r w:rsidR="00162243">
        <w:rPr>
          <w:b/>
          <w:noProof/>
          <w:lang w:val="en-GB" w:eastAsia="en-US"/>
        </w:rPr>
        <w:t>2</w:t>
      </w:r>
      <w:r w:rsidRPr="0098744F">
        <w:rPr>
          <w:b/>
          <w:lang w:val="en-GB" w:eastAsia="en-US"/>
        </w:rPr>
        <w:fldChar w:fldCharType="end"/>
      </w:r>
      <w:r w:rsidRPr="0098744F">
        <w:rPr>
          <w:b/>
          <w:lang w:val="en-GB" w:eastAsia="en-US"/>
        </w:rPr>
        <w:t xml:space="preserve">. </w:t>
      </w:r>
      <w:r>
        <w:rPr>
          <w:b/>
          <w:lang w:val="en-GB" w:eastAsia="en-US"/>
        </w:rPr>
        <w:t>gNB configures the passband and guard band within each subband. The RBs in guard band can be used only if the subbands on both sides pass LBT. FFS the configuration is per cell or per BWP.</w:t>
      </w:r>
    </w:p>
    <w:bookmarkEnd w:id="5"/>
    <w:p w14:paraId="0CA12249" w14:textId="77777777" w:rsidR="00E910E8" w:rsidRDefault="00E910E8" w:rsidP="0098744F">
      <w:pPr>
        <w:rPr>
          <w:b/>
          <w:lang w:val="en-GB" w:eastAsia="en-US"/>
        </w:rPr>
      </w:pPr>
    </w:p>
    <w:p w14:paraId="21A398F5" w14:textId="371BFD84" w:rsidR="006C349A" w:rsidRDefault="006C349A" w:rsidP="00601374">
      <w:pPr>
        <w:pStyle w:val="Heading1"/>
        <w:kinsoku w:val="0"/>
        <w:spacing w:after="0"/>
      </w:pPr>
      <w:r>
        <w:t>UL</w:t>
      </w:r>
      <w:r w:rsidR="0094414E">
        <w:t xml:space="preserve"> wideband BWP operation</w:t>
      </w:r>
    </w:p>
    <w:p w14:paraId="7EA76F91" w14:textId="77777777" w:rsidR="0098744F" w:rsidRPr="0098744F" w:rsidRDefault="0098744F" w:rsidP="0098744F">
      <w:pPr>
        <w:rPr>
          <w:lang w:eastAsia="x-none"/>
        </w:rPr>
      </w:pPr>
      <w:r w:rsidRPr="0098744F">
        <w:rPr>
          <w:lang w:eastAsia="x-none"/>
        </w:rPr>
        <w:t>In</w:t>
      </w:r>
      <w:r>
        <w:rPr>
          <w:lang w:eastAsia="x-none"/>
        </w:rPr>
        <w:t xml:space="preserve"> RAN1 #96bis, the following agreement on the UL transmission was reached.</w:t>
      </w:r>
    </w:p>
    <w:p w14:paraId="786FFA18" w14:textId="77777777" w:rsidR="0098744F" w:rsidRDefault="0098744F" w:rsidP="0098744F">
      <w:pPr>
        <w:rPr>
          <w:lang w:eastAsia="x-none"/>
        </w:rPr>
      </w:pPr>
      <w:r w:rsidRPr="00D627AE">
        <w:rPr>
          <w:highlight w:val="green"/>
          <w:lang w:eastAsia="x-none"/>
        </w:rPr>
        <w:t>Agreement:</w:t>
      </w:r>
    </w:p>
    <w:p w14:paraId="7ADA64A0" w14:textId="77777777" w:rsidR="0098744F" w:rsidRDefault="0098744F" w:rsidP="0098744F">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27533C59" w14:textId="77777777" w:rsidR="0098744F" w:rsidRDefault="0098744F" w:rsidP="0098744F">
      <w:pPr>
        <w:widowControl/>
        <w:numPr>
          <w:ilvl w:val="0"/>
          <w:numId w:val="7"/>
        </w:numPr>
        <w:autoSpaceDE/>
        <w:autoSpaceDN/>
        <w:spacing w:after="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3F3EDD4D" w14:textId="77777777" w:rsidR="0098744F" w:rsidRDefault="0098744F" w:rsidP="0098744F">
      <w:pPr>
        <w:widowControl/>
        <w:numPr>
          <w:ilvl w:val="0"/>
          <w:numId w:val="7"/>
        </w:numPr>
        <w:autoSpaceDE/>
        <w:autoSpaceDN/>
        <w:spacing w:after="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9BCAAF0" w14:textId="77777777" w:rsidR="0098744F" w:rsidRDefault="0098744F" w:rsidP="0098744F">
      <w:pPr>
        <w:widowControl/>
        <w:numPr>
          <w:ilvl w:val="1"/>
          <w:numId w:val="7"/>
        </w:numPr>
        <w:autoSpaceDE/>
        <w:autoSpaceDN/>
        <w:spacing w:after="0"/>
        <w:jc w:val="left"/>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05F69C79" w14:textId="77777777" w:rsidR="0098744F" w:rsidRPr="00B7417E" w:rsidRDefault="0098744F" w:rsidP="0098744F">
      <w:pPr>
        <w:widowControl/>
        <w:numPr>
          <w:ilvl w:val="1"/>
          <w:numId w:val="7"/>
        </w:numPr>
        <w:autoSpaceDE/>
        <w:autoSpaceDN/>
        <w:spacing w:after="0"/>
        <w:jc w:val="left"/>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60DD74EB"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2ADB4698"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FFS: Whether this applies also to configured grant PUSCH</w:t>
      </w:r>
    </w:p>
    <w:p w14:paraId="39300C49" w14:textId="77777777" w:rsidR="0098744F" w:rsidRDefault="0098744F" w:rsidP="0098744F">
      <w:pPr>
        <w:widowControl/>
        <w:numPr>
          <w:ilvl w:val="0"/>
          <w:numId w:val="7"/>
        </w:numPr>
        <w:autoSpaceDE/>
        <w:autoSpaceDN/>
        <w:spacing w:after="0"/>
        <w:jc w:val="left"/>
        <w:rPr>
          <w:lang w:eastAsia="x-none"/>
        </w:rPr>
      </w:pPr>
      <w:r w:rsidRPr="00EE4A63">
        <w:rPr>
          <w:lang w:eastAsia="x-none"/>
        </w:rPr>
        <w:t>FFS: Whether this applies also to PUCCH</w:t>
      </w:r>
    </w:p>
    <w:p w14:paraId="5F6667E0" w14:textId="77777777" w:rsidR="0098744F" w:rsidRDefault="0098744F" w:rsidP="00D77412">
      <w:pPr>
        <w:rPr>
          <w:lang w:val="en-GB" w:eastAsia="en-US"/>
        </w:rPr>
      </w:pPr>
    </w:p>
    <w:p w14:paraId="4D301A6F" w14:textId="56354A92" w:rsidR="001B7DFF" w:rsidRDefault="0098744F" w:rsidP="00D77412">
      <w:r>
        <w:rPr>
          <w:lang w:val="en-GB" w:eastAsia="en-US"/>
        </w:rPr>
        <w:t>We believe Alt 2 is not necessary to be supported</w:t>
      </w:r>
      <w:r w:rsidR="0069728A">
        <w:rPr>
          <w:lang w:val="en-GB" w:eastAsia="en-US"/>
        </w:rPr>
        <w:t xml:space="preserve"> for the following reasons.</w:t>
      </w:r>
    </w:p>
    <w:p w14:paraId="7B4169C3" w14:textId="5523DC33" w:rsidR="0069728A" w:rsidRDefault="0069728A" w:rsidP="00DF3724">
      <w:pPr>
        <w:pStyle w:val="ListParagraph"/>
        <w:numPr>
          <w:ilvl w:val="0"/>
          <w:numId w:val="10"/>
        </w:numPr>
        <w:ind w:leftChars="0"/>
      </w:pPr>
      <w:r>
        <w:rPr>
          <w:lang w:val="en-GB" w:eastAsia="en-US"/>
        </w:rPr>
        <w:t>The UL is scheduled, UE autonomous puncturing in frequency domain may lead to some complexity at gNB receiver.</w:t>
      </w:r>
    </w:p>
    <w:p w14:paraId="6D7CE186" w14:textId="77777777" w:rsidR="0098744F" w:rsidRPr="0098744F" w:rsidRDefault="003643E6" w:rsidP="00DF3724">
      <w:pPr>
        <w:pStyle w:val="ListParagraph"/>
        <w:numPr>
          <w:ilvl w:val="0"/>
          <w:numId w:val="10"/>
        </w:numPr>
        <w:ind w:leftChars="0"/>
      </w:pPr>
      <w:r>
        <w:rPr>
          <w:lang w:val="en-GB" w:eastAsia="en-US"/>
        </w:rPr>
        <w:t xml:space="preserve">UL transmission within gNB COT is subject to Cat 1 immediate transmission or Cat 2 LBT. When Cat 1 immediate transmission is used, the UE will follow the UL grant to transmit in the RBs allocated, which are in the subbands </w:t>
      </w:r>
      <w:r w:rsidR="002F1063">
        <w:rPr>
          <w:lang w:val="en-GB" w:eastAsia="en-US"/>
        </w:rPr>
        <w:t xml:space="preserve">that have </w:t>
      </w:r>
      <w:r>
        <w:rPr>
          <w:lang w:val="en-GB" w:eastAsia="en-US"/>
        </w:rPr>
        <w:t xml:space="preserve">passed LBT at gNB side. When Cat 2 LBT is used, since the RBs allocated for UL transmission </w:t>
      </w:r>
      <w:r w:rsidR="002F1063">
        <w:rPr>
          <w:lang w:val="en-GB" w:eastAsia="en-US"/>
        </w:rPr>
        <w:t>are</w:t>
      </w:r>
      <w:r>
        <w:rPr>
          <w:lang w:val="en-GB" w:eastAsia="en-US"/>
        </w:rPr>
        <w:t xml:space="preserve"> in the subbands </w:t>
      </w:r>
      <w:r w:rsidR="002F1063">
        <w:rPr>
          <w:lang w:val="en-GB" w:eastAsia="en-US"/>
        </w:rPr>
        <w:t xml:space="preserve">that </w:t>
      </w:r>
      <w:r>
        <w:rPr>
          <w:lang w:val="en-GB" w:eastAsia="en-US"/>
        </w:rPr>
        <w:t>passed LBT on gNB side recently, the chance</w:t>
      </w:r>
      <w:r w:rsidR="002F1063">
        <w:rPr>
          <w:lang w:val="en-GB" w:eastAsia="en-US"/>
        </w:rPr>
        <w:t>s</w:t>
      </w:r>
      <w:r>
        <w:rPr>
          <w:lang w:val="en-GB" w:eastAsia="en-US"/>
        </w:rPr>
        <w:t xml:space="preserve"> of </w:t>
      </w:r>
      <w:r w:rsidR="005B5F7C">
        <w:rPr>
          <w:lang w:val="en-GB" w:eastAsia="en-US"/>
        </w:rPr>
        <w:t>different LBT outcome</w:t>
      </w:r>
      <w:r w:rsidR="002F1063">
        <w:rPr>
          <w:lang w:val="en-GB" w:eastAsia="en-US"/>
        </w:rPr>
        <w:t>s</w:t>
      </w:r>
      <w:r w:rsidR="005B5F7C">
        <w:rPr>
          <w:lang w:val="en-GB" w:eastAsia="en-US"/>
        </w:rPr>
        <w:t xml:space="preserve"> across these subbands are not high.</w:t>
      </w:r>
    </w:p>
    <w:p w14:paraId="2C86BB9C" w14:textId="12554D23" w:rsidR="0098744F" w:rsidRDefault="005B5F7C" w:rsidP="00DF3724">
      <w:pPr>
        <w:pStyle w:val="ListParagraph"/>
        <w:numPr>
          <w:ilvl w:val="0"/>
          <w:numId w:val="10"/>
        </w:numPr>
        <w:ind w:leftChars="0"/>
      </w:pPr>
      <w:r w:rsidRPr="0098744F">
        <w:rPr>
          <w:lang w:val="en-GB" w:eastAsia="en-US"/>
        </w:rPr>
        <w:t>The UL transmission is a single PUSCH targeting the gNB. If there is frequency domain puncturing, due to the frequency first mapping of the PUSCH, all CBs in the PUSCH are affected, and likely a retransmission is needed. The similar issue applies for DL as well if single wideband PDSCH is granted. But the DL has the option to serve multiple UEs in separate subbands with different PDSCH</w:t>
      </w:r>
      <w:r w:rsidR="00D77412" w:rsidRPr="0098744F">
        <w:rPr>
          <w:lang w:val="en-GB" w:eastAsia="en-US"/>
        </w:rPr>
        <w:t>.</w:t>
      </w:r>
    </w:p>
    <w:p w14:paraId="0704BA96" w14:textId="269A01F7" w:rsidR="00787477" w:rsidRPr="00787477" w:rsidRDefault="00787477" w:rsidP="00787477">
      <w:pPr>
        <w:rPr>
          <w:b/>
          <w:lang w:val="en-GB" w:eastAsia="en-US"/>
        </w:rPr>
      </w:pPr>
      <w:bookmarkStart w:id="6" w:name="b7"/>
      <w:r w:rsidRPr="00787477">
        <w:rPr>
          <w:b/>
          <w:lang w:val="en-GB" w:eastAsia="en-US"/>
        </w:rPr>
        <w:t>Proposal</w:t>
      </w:r>
      <w:r w:rsidR="0094414E">
        <w:rPr>
          <w:b/>
          <w:lang w:val="en-GB" w:eastAsia="en-US"/>
        </w:rPr>
        <w:t xml:space="preserve"> </w:t>
      </w:r>
      <w:r w:rsidR="0094414E" w:rsidRPr="00601374">
        <w:rPr>
          <w:b/>
          <w:snapToGrid w:val="0"/>
          <w:kern w:val="0"/>
          <w:szCs w:val="20"/>
          <w:lang w:val="en-GB" w:eastAsia="en-US"/>
        </w:rPr>
        <w:fldChar w:fldCharType="begin"/>
      </w:r>
      <w:r w:rsidR="0094414E" w:rsidRPr="00601374">
        <w:rPr>
          <w:b/>
          <w:snapToGrid w:val="0"/>
          <w:kern w:val="0"/>
          <w:szCs w:val="20"/>
          <w:lang w:val="en-GB" w:eastAsia="en-US"/>
        </w:rPr>
        <w:instrText xml:space="preserve"> seq prop </w:instrText>
      </w:r>
      <w:r w:rsidR="0094414E" w:rsidRPr="00601374">
        <w:rPr>
          <w:b/>
          <w:snapToGrid w:val="0"/>
          <w:kern w:val="0"/>
          <w:szCs w:val="20"/>
          <w:lang w:val="en-GB" w:eastAsia="en-US"/>
        </w:rPr>
        <w:fldChar w:fldCharType="separate"/>
      </w:r>
      <w:r w:rsidR="00162243">
        <w:rPr>
          <w:b/>
          <w:noProof/>
          <w:snapToGrid w:val="0"/>
          <w:kern w:val="0"/>
          <w:szCs w:val="20"/>
          <w:lang w:val="en-GB" w:eastAsia="en-US"/>
        </w:rPr>
        <w:t>3</w:t>
      </w:r>
      <w:r w:rsidR="0094414E" w:rsidRPr="00601374">
        <w:rPr>
          <w:b/>
          <w:snapToGrid w:val="0"/>
          <w:kern w:val="0"/>
          <w:szCs w:val="20"/>
          <w:lang w:val="en-GB" w:eastAsia="en-US"/>
        </w:rPr>
        <w:fldChar w:fldCharType="end"/>
      </w:r>
      <w:r w:rsidRPr="00787477">
        <w:rPr>
          <w:b/>
          <w:lang w:val="en-GB" w:eastAsia="en-US"/>
        </w:rPr>
        <w:t xml:space="preserve">: NR-U supports </w:t>
      </w:r>
      <w:r w:rsidR="0098744F">
        <w:rPr>
          <w:b/>
          <w:lang w:val="en-GB" w:eastAsia="en-US"/>
        </w:rPr>
        <w:t>Alt 1 only</w:t>
      </w:r>
      <w:r w:rsidRPr="00787477">
        <w:rPr>
          <w:b/>
          <w:lang w:val="en-GB" w:eastAsia="en-US"/>
        </w:rPr>
        <w:t xml:space="preserve"> for</w:t>
      </w:r>
      <w:r>
        <w:rPr>
          <w:b/>
          <w:lang w:val="en-GB" w:eastAsia="en-US"/>
        </w:rPr>
        <w:t xml:space="preserve"> U</w:t>
      </w:r>
      <w:r w:rsidRPr="00787477">
        <w:rPr>
          <w:b/>
          <w:lang w:val="en-GB" w:eastAsia="en-US"/>
        </w:rPr>
        <w:t>L wideband BWP</w:t>
      </w:r>
      <w:r>
        <w:rPr>
          <w:b/>
          <w:lang w:val="en-GB" w:eastAsia="en-US"/>
        </w:rPr>
        <w:t xml:space="preserve"> operation.</w:t>
      </w:r>
      <w:r w:rsidR="00D77412">
        <w:rPr>
          <w:b/>
          <w:lang w:val="en-GB" w:eastAsia="en-US"/>
        </w:rPr>
        <w:t xml:space="preserve"> </w:t>
      </w:r>
    </w:p>
    <w:bookmarkEnd w:id="6"/>
    <w:p w14:paraId="1F083CA7" w14:textId="6A5A197A" w:rsidR="0095302F" w:rsidRDefault="0095302F" w:rsidP="00601374">
      <w:pPr>
        <w:pStyle w:val="Heading1"/>
        <w:kinsoku w:val="0"/>
        <w:spacing w:after="0"/>
      </w:pPr>
      <w:r>
        <w:t>Summary</w:t>
      </w:r>
    </w:p>
    <w:p w14:paraId="791C5E77" w14:textId="14E023CC" w:rsidR="0051580E" w:rsidRDefault="00594582" w:rsidP="00601374">
      <w:pPr>
        <w:pStyle w:val="LGTdoc1"/>
        <w:kinsoku w:val="0"/>
        <w:overflowPunct w:val="0"/>
        <w:spacing w:beforeLines="0" w:before="120" w:after="0" w:afterAutospacing="0"/>
        <w:rPr>
          <w:b w:val="0"/>
          <w:sz w:val="20"/>
        </w:rPr>
      </w:pPr>
      <w:r w:rsidRPr="00770545">
        <w:rPr>
          <w:b w:val="0"/>
          <w:sz w:val="20"/>
        </w:rPr>
        <w:t xml:space="preserve">The proposals </w:t>
      </w:r>
      <w:r w:rsidR="00FA2D11" w:rsidRPr="00770545">
        <w:rPr>
          <w:b w:val="0"/>
          <w:sz w:val="20"/>
        </w:rPr>
        <w:t xml:space="preserve">and observations </w:t>
      </w:r>
      <w:r w:rsidRPr="00770545">
        <w:rPr>
          <w:b w:val="0"/>
          <w:sz w:val="20"/>
        </w:rPr>
        <w:t>made in this contribution are summarized below.</w:t>
      </w:r>
    </w:p>
    <w:p w14:paraId="786927E9" w14:textId="77777777" w:rsidR="00162243" w:rsidRPr="002C4816" w:rsidRDefault="00424114">
      <w:pPr>
        <w:rPr>
          <w:b/>
          <w:lang w:val="en-GB" w:eastAsia="en-US"/>
        </w:rPr>
      </w:pPr>
      <w:r>
        <w:rPr>
          <w:b/>
        </w:rPr>
        <w:fldChar w:fldCharType="begin"/>
      </w:r>
      <w:r>
        <w:rPr>
          <w:b/>
        </w:rPr>
        <w:instrText xml:space="preserve"> REF b1 \h </w:instrText>
      </w:r>
      <w:r>
        <w:rPr>
          <w:b/>
        </w:rPr>
      </w:r>
      <w:r>
        <w:rPr>
          <w:b/>
        </w:rPr>
        <w:fldChar w:fldCharType="separate"/>
      </w:r>
      <w:r w:rsidR="00162243" w:rsidRPr="002C4816">
        <w:rPr>
          <w:b/>
          <w:lang w:val="en-GB" w:eastAsia="en-US"/>
        </w:rPr>
        <w:t xml:space="preserve">Observation </w:t>
      </w:r>
      <w:r w:rsidR="00162243">
        <w:rPr>
          <w:b/>
          <w:noProof/>
          <w:lang w:val="en-GB" w:eastAsia="en-US"/>
        </w:rPr>
        <w:t>1</w:t>
      </w:r>
      <w:r w:rsidR="00162243" w:rsidRPr="002C4816">
        <w:rPr>
          <w:b/>
          <w:lang w:val="en-GB" w:eastAsia="en-US"/>
        </w:rPr>
        <w:t xml:space="preserve">. </w:t>
      </w:r>
      <w:r w:rsidR="00162243">
        <w:rPr>
          <w:b/>
          <w:lang w:val="en-GB" w:eastAsia="en-US"/>
        </w:rPr>
        <w:t>Restricting coreset to be within one subband is naturally supported by legacy NR. The number of coresets supported per BWP is UE capability and there is no need to increase that from NR-U perspective.</w:t>
      </w:r>
    </w:p>
    <w:p w14:paraId="093529C3" w14:textId="77777777" w:rsidR="00162243" w:rsidRPr="00746892" w:rsidRDefault="00424114" w:rsidP="006E36C7">
      <w:pPr>
        <w:rPr>
          <w:b/>
          <w:lang w:val="en-GB" w:eastAsia="en-US"/>
        </w:rPr>
      </w:pPr>
      <w:r>
        <w:rPr>
          <w:b/>
        </w:rPr>
        <w:fldChar w:fldCharType="end"/>
      </w:r>
      <w:r>
        <w:rPr>
          <w:b/>
        </w:rPr>
        <w:fldChar w:fldCharType="begin"/>
      </w:r>
      <w:r>
        <w:rPr>
          <w:b/>
        </w:rPr>
        <w:instrText xml:space="preserve"> REF b3 \h </w:instrText>
      </w:r>
      <w:r>
        <w:rPr>
          <w:b/>
        </w:rPr>
      </w:r>
      <w:r>
        <w:rPr>
          <w:b/>
        </w:rPr>
        <w:fldChar w:fldCharType="separate"/>
      </w:r>
      <w:r w:rsidR="00162243" w:rsidRPr="00746892">
        <w:rPr>
          <w:b/>
          <w:lang w:val="en-GB" w:eastAsia="en-US"/>
        </w:rPr>
        <w:t xml:space="preserve">Observation </w:t>
      </w:r>
      <w:r w:rsidR="00162243">
        <w:rPr>
          <w:b/>
          <w:noProof/>
          <w:lang w:val="en-GB" w:eastAsia="en-US"/>
        </w:rPr>
        <w:t>2</w:t>
      </w:r>
      <w:r w:rsidR="00162243" w:rsidRPr="00746892">
        <w:rPr>
          <w:b/>
          <w:lang w:val="en-GB" w:eastAsia="en-US"/>
        </w:rPr>
        <w:t xml:space="preserve">. </w:t>
      </w:r>
      <w:r w:rsidR="00162243">
        <w:rPr>
          <w:b/>
          <w:lang w:val="en-GB" w:eastAsia="en-US"/>
        </w:rPr>
        <w:t>Multi-cluster c</w:t>
      </w:r>
      <w:bookmarkStart w:id="7" w:name="_GoBack"/>
      <w:bookmarkEnd w:id="7"/>
      <w:r w:rsidR="00162243">
        <w:rPr>
          <w:b/>
          <w:lang w:val="en-GB" w:eastAsia="en-US"/>
        </w:rPr>
        <w:t>oreset in Rel.15 NR is still useful for NR-U and there is no need to remove that.</w:t>
      </w:r>
    </w:p>
    <w:p w14:paraId="6747C45B" w14:textId="77777777" w:rsidR="00162243" w:rsidRDefault="00424114" w:rsidP="0098744F">
      <w:pPr>
        <w:rPr>
          <w:b/>
          <w:lang w:val="en-GB" w:eastAsia="en-US"/>
        </w:rPr>
      </w:pPr>
      <w:r>
        <w:rPr>
          <w:b/>
        </w:rPr>
        <w:lastRenderedPageBreak/>
        <w:fldChar w:fldCharType="end"/>
      </w:r>
      <w:r>
        <w:rPr>
          <w:b/>
        </w:rPr>
        <w:fldChar w:fldCharType="begin"/>
      </w:r>
      <w:r>
        <w:rPr>
          <w:b/>
        </w:rPr>
        <w:instrText xml:space="preserve"> REF b5 \h </w:instrText>
      </w:r>
      <w:r>
        <w:rPr>
          <w:b/>
        </w:rPr>
      </w:r>
      <w:r>
        <w:rPr>
          <w:b/>
        </w:rPr>
        <w:fldChar w:fldCharType="separate"/>
      </w:r>
      <w:r w:rsidR="00162243" w:rsidRPr="0098744F">
        <w:rPr>
          <w:b/>
          <w:lang w:val="en-GB" w:eastAsia="en-US"/>
        </w:rPr>
        <w:t xml:space="preserve">Proposal </w:t>
      </w:r>
      <w:r w:rsidR="00162243">
        <w:rPr>
          <w:b/>
          <w:noProof/>
          <w:lang w:val="en-GB" w:eastAsia="en-US"/>
        </w:rPr>
        <w:t>1</w:t>
      </w:r>
      <w:r w:rsidR="00162243" w:rsidRPr="0098744F">
        <w:rPr>
          <w:b/>
          <w:lang w:val="en-GB" w:eastAsia="en-US"/>
        </w:rPr>
        <w:t xml:space="preserve">. </w:t>
      </w:r>
      <w:r w:rsidR="00162243">
        <w:rPr>
          <w:b/>
          <w:lang w:val="en-GB" w:eastAsia="en-US"/>
        </w:rPr>
        <w:t xml:space="preserve">A bitmap in GC-PDCCH is used to indicate the LBT bandwidth or carrier usage. All “0” bitmap is reserves to indicate the LBT bandwidth or carrier usage is not known </w:t>
      </w:r>
      <w:proofErr w:type="gramStart"/>
      <w:r w:rsidR="00162243">
        <w:rPr>
          <w:b/>
          <w:lang w:val="en-GB" w:eastAsia="en-US"/>
        </w:rPr>
        <w:t>at the moment</w:t>
      </w:r>
      <w:proofErr w:type="gramEnd"/>
      <w:r w:rsidR="00162243">
        <w:rPr>
          <w:b/>
          <w:lang w:val="en-GB" w:eastAsia="en-US"/>
        </w:rPr>
        <w:t xml:space="preserve"> the GC-PDCCH is generated.</w:t>
      </w:r>
    </w:p>
    <w:p w14:paraId="0890D80F" w14:textId="77777777" w:rsidR="00162243" w:rsidRDefault="00424114" w:rsidP="00F80C50">
      <w:pPr>
        <w:rPr>
          <w:b/>
          <w:lang w:val="en-GB" w:eastAsia="en-US"/>
        </w:rPr>
      </w:pPr>
      <w:r>
        <w:rPr>
          <w:b/>
        </w:rPr>
        <w:fldChar w:fldCharType="end"/>
      </w:r>
      <w:r>
        <w:rPr>
          <w:b/>
        </w:rPr>
        <w:fldChar w:fldCharType="begin"/>
      </w:r>
      <w:r>
        <w:rPr>
          <w:b/>
        </w:rPr>
        <w:instrText xml:space="preserve"> REF b6 \h </w:instrText>
      </w:r>
      <w:r>
        <w:rPr>
          <w:b/>
        </w:rPr>
      </w:r>
      <w:r>
        <w:rPr>
          <w:b/>
        </w:rPr>
        <w:fldChar w:fldCharType="separate"/>
      </w:r>
      <w:r w:rsidR="00162243" w:rsidRPr="0098744F">
        <w:rPr>
          <w:b/>
          <w:lang w:val="en-GB" w:eastAsia="en-US"/>
        </w:rPr>
        <w:t xml:space="preserve">Proposal </w:t>
      </w:r>
      <w:r w:rsidR="00162243">
        <w:rPr>
          <w:b/>
          <w:noProof/>
          <w:lang w:val="en-GB" w:eastAsia="en-US"/>
        </w:rPr>
        <w:t>2</w:t>
      </w:r>
      <w:r w:rsidR="00162243" w:rsidRPr="0098744F">
        <w:rPr>
          <w:b/>
          <w:lang w:val="en-GB" w:eastAsia="en-US"/>
        </w:rPr>
        <w:t xml:space="preserve">. </w:t>
      </w:r>
      <w:r w:rsidR="00162243">
        <w:rPr>
          <w:b/>
          <w:lang w:val="en-GB" w:eastAsia="en-US"/>
        </w:rPr>
        <w:t>gNB configures the passband and guard band within each subband. The RBs in guard band can be used only if the subbands on both sides pass LBT. FFS the configuration is per cell or per BWP.</w:t>
      </w:r>
    </w:p>
    <w:p w14:paraId="1B101921" w14:textId="77777777" w:rsidR="00162243" w:rsidRPr="00787477" w:rsidRDefault="00424114" w:rsidP="00787477">
      <w:pPr>
        <w:rPr>
          <w:b/>
          <w:lang w:val="en-GB" w:eastAsia="en-US"/>
        </w:rPr>
      </w:pPr>
      <w:r>
        <w:rPr>
          <w:b/>
        </w:rPr>
        <w:fldChar w:fldCharType="end"/>
      </w:r>
      <w:r>
        <w:rPr>
          <w:b/>
        </w:rPr>
        <w:fldChar w:fldCharType="begin"/>
      </w:r>
      <w:r>
        <w:rPr>
          <w:b/>
        </w:rPr>
        <w:instrText xml:space="preserve"> REF b7 \h </w:instrText>
      </w:r>
      <w:r>
        <w:rPr>
          <w:b/>
        </w:rPr>
      </w:r>
      <w:r>
        <w:rPr>
          <w:b/>
        </w:rPr>
        <w:fldChar w:fldCharType="separate"/>
      </w:r>
      <w:r w:rsidR="00162243" w:rsidRPr="00787477">
        <w:rPr>
          <w:b/>
          <w:lang w:val="en-GB" w:eastAsia="en-US"/>
        </w:rPr>
        <w:t>Proposal</w:t>
      </w:r>
      <w:r w:rsidR="00162243">
        <w:rPr>
          <w:b/>
          <w:lang w:val="en-GB" w:eastAsia="en-US"/>
        </w:rPr>
        <w:t xml:space="preserve"> </w:t>
      </w:r>
      <w:r w:rsidR="00162243">
        <w:rPr>
          <w:b/>
          <w:noProof/>
          <w:snapToGrid w:val="0"/>
          <w:kern w:val="0"/>
          <w:szCs w:val="20"/>
          <w:lang w:val="en-GB" w:eastAsia="en-US"/>
        </w:rPr>
        <w:t>3</w:t>
      </w:r>
      <w:r w:rsidR="00162243" w:rsidRPr="00787477">
        <w:rPr>
          <w:b/>
          <w:lang w:val="en-GB" w:eastAsia="en-US"/>
        </w:rPr>
        <w:t xml:space="preserve">: NR-U supports </w:t>
      </w:r>
      <w:r w:rsidR="00162243">
        <w:rPr>
          <w:b/>
          <w:lang w:val="en-GB" w:eastAsia="en-US"/>
        </w:rPr>
        <w:t>Alt 1 only</w:t>
      </w:r>
      <w:r w:rsidR="00162243" w:rsidRPr="00787477">
        <w:rPr>
          <w:b/>
          <w:lang w:val="en-GB" w:eastAsia="en-US"/>
        </w:rPr>
        <w:t xml:space="preserve"> for</w:t>
      </w:r>
      <w:r w:rsidR="00162243">
        <w:rPr>
          <w:b/>
          <w:lang w:val="en-GB" w:eastAsia="en-US"/>
        </w:rPr>
        <w:t xml:space="preserve"> U</w:t>
      </w:r>
      <w:r w:rsidR="00162243" w:rsidRPr="00787477">
        <w:rPr>
          <w:b/>
          <w:lang w:val="en-GB" w:eastAsia="en-US"/>
        </w:rPr>
        <w:t>L wideband BWP</w:t>
      </w:r>
      <w:r w:rsidR="00162243">
        <w:rPr>
          <w:b/>
          <w:lang w:val="en-GB" w:eastAsia="en-US"/>
        </w:rPr>
        <w:t xml:space="preserve"> operation. </w:t>
      </w:r>
    </w:p>
    <w:p w14:paraId="2451782E" w14:textId="7860D974" w:rsidR="00BB6420" w:rsidRDefault="00424114" w:rsidP="002C4816">
      <w:pPr>
        <w:pStyle w:val="LGTdoc1"/>
        <w:widowControl w:val="0"/>
        <w:autoSpaceDE w:val="0"/>
        <w:autoSpaceDN w:val="0"/>
        <w:adjustRightInd/>
        <w:snapToGrid/>
        <w:spacing w:beforeLines="0" w:after="120" w:afterAutospacing="0"/>
        <w:rPr>
          <w:b w:val="0"/>
          <w:sz w:val="22"/>
          <w:szCs w:val="22"/>
        </w:rPr>
      </w:pPr>
      <w:r>
        <w:rPr>
          <w:b w:val="0"/>
        </w:rPr>
        <w:fldChar w:fldCharType="end"/>
      </w:r>
    </w:p>
    <w:sectPr w:rsidR="00BB6420"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E8153" w14:textId="77777777" w:rsidR="0055319D" w:rsidRDefault="0055319D">
      <w:r>
        <w:separator/>
      </w:r>
    </w:p>
    <w:p w14:paraId="2FF41C5A" w14:textId="77777777" w:rsidR="0055319D" w:rsidRDefault="0055319D"/>
    <w:p w14:paraId="42F0824F" w14:textId="77777777" w:rsidR="0055319D" w:rsidRDefault="0055319D"/>
    <w:p w14:paraId="1FC3F3D5" w14:textId="77777777" w:rsidR="0055319D" w:rsidRDefault="0055319D"/>
  </w:endnote>
  <w:endnote w:type="continuationSeparator" w:id="0">
    <w:p w14:paraId="03E0DFAC" w14:textId="77777777" w:rsidR="0055319D" w:rsidRDefault="0055319D">
      <w:r>
        <w:continuationSeparator/>
      </w:r>
    </w:p>
    <w:p w14:paraId="64F17970" w14:textId="77777777" w:rsidR="0055319D" w:rsidRDefault="0055319D"/>
    <w:p w14:paraId="1ECCA11F" w14:textId="77777777" w:rsidR="0055319D" w:rsidRDefault="0055319D"/>
    <w:p w14:paraId="2B4DD72A" w14:textId="77777777" w:rsidR="0055319D" w:rsidRDefault="0055319D"/>
  </w:endnote>
  <w:endnote w:type="continuationNotice" w:id="1">
    <w:p w14:paraId="24FAC331" w14:textId="77777777" w:rsidR="0055319D" w:rsidRDefault="0055319D"/>
    <w:p w14:paraId="431F0425" w14:textId="77777777" w:rsidR="0055319D" w:rsidRDefault="0055319D"/>
    <w:p w14:paraId="17EED503" w14:textId="77777777" w:rsidR="0055319D" w:rsidRDefault="0055319D"/>
    <w:p w14:paraId="406E9833" w14:textId="77777777" w:rsidR="0055319D" w:rsidRDefault="00553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8B5CD1" w:rsidRDefault="008B5C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8B5CD1" w:rsidRDefault="008B5CD1">
    <w:pPr>
      <w:pStyle w:val="Footer"/>
    </w:pPr>
  </w:p>
  <w:p w14:paraId="18D3DFFA" w14:textId="77777777" w:rsidR="008B5CD1" w:rsidRDefault="008B5CD1"/>
  <w:p w14:paraId="59BFB364" w14:textId="77777777" w:rsidR="008B5CD1" w:rsidRDefault="008B5CD1"/>
  <w:p w14:paraId="555FE5D1" w14:textId="77777777" w:rsidR="008B5CD1" w:rsidRDefault="008B5C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8B5CD1" w:rsidRDefault="008B5C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8B5CD1" w:rsidRDefault="008B5CD1">
    <w:pPr>
      <w:pStyle w:val="Footer"/>
    </w:pPr>
  </w:p>
  <w:p w14:paraId="1283C71A" w14:textId="77777777" w:rsidR="008B5CD1" w:rsidRDefault="008B5CD1"/>
  <w:p w14:paraId="37DDCC24" w14:textId="77777777" w:rsidR="008B5CD1" w:rsidRDefault="008B5CD1"/>
  <w:p w14:paraId="7C4D0363" w14:textId="77777777" w:rsidR="008B5CD1" w:rsidRDefault="008B5C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7A2F9" w14:textId="77777777" w:rsidR="0055319D" w:rsidRDefault="0055319D">
      <w:r>
        <w:separator/>
      </w:r>
    </w:p>
    <w:p w14:paraId="48D41C7F" w14:textId="77777777" w:rsidR="0055319D" w:rsidRDefault="0055319D"/>
    <w:p w14:paraId="0C561FAA" w14:textId="77777777" w:rsidR="0055319D" w:rsidRDefault="0055319D"/>
    <w:p w14:paraId="5F0962F8" w14:textId="77777777" w:rsidR="0055319D" w:rsidRDefault="0055319D"/>
  </w:footnote>
  <w:footnote w:type="continuationSeparator" w:id="0">
    <w:p w14:paraId="162EC157" w14:textId="77777777" w:rsidR="0055319D" w:rsidRDefault="0055319D">
      <w:r>
        <w:continuationSeparator/>
      </w:r>
    </w:p>
    <w:p w14:paraId="1ABBD8E3" w14:textId="77777777" w:rsidR="0055319D" w:rsidRDefault="0055319D"/>
    <w:p w14:paraId="337C2B5F" w14:textId="77777777" w:rsidR="0055319D" w:rsidRDefault="0055319D"/>
    <w:p w14:paraId="3D98AA1D" w14:textId="77777777" w:rsidR="0055319D" w:rsidRDefault="0055319D"/>
  </w:footnote>
  <w:footnote w:type="continuationNotice" w:id="1">
    <w:p w14:paraId="638256F0" w14:textId="77777777" w:rsidR="0055319D" w:rsidRDefault="0055319D"/>
    <w:p w14:paraId="1A4E17F2" w14:textId="77777777" w:rsidR="0055319D" w:rsidRDefault="0055319D"/>
    <w:p w14:paraId="40F961D3" w14:textId="77777777" w:rsidR="0055319D" w:rsidRDefault="0055319D"/>
    <w:p w14:paraId="3A2ABD5C" w14:textId="77777777" w:rsidR="0055319D" w:rsidRDefault="005531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1233509E"/>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54A1F09"/>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6F0552E"/>
    <w:multiLevelType w:val="multilevel"/>
    <w:tmpl w:val="172EC2FC"/>
    <w:lvl w:ilvl="0">
      <w:start w:val="1"/>
      <w:numFmt w:val="decimal"/>
      <w:pStyle w:val="Heading1"/>
      <w:lvlText w:val="%1."/>
      <w:lvlJc w:val="left"/>
      <w:pPr>
        <w:tabs>
          <w:tab w:val="num" w:pos="6912"/>
        </w:tabs>
        <w:ind w:left="691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1"/>
  </w:num>
  <w:num w:numId="4">
    <w:abstractNumId w:val="12"/>
  </w:num>
  <w:num w:numId="5">
    <w:abstractNumId w:val="0"/>
  </w:num>
  <w:num w:numId="6">
    <w:abstractNumId w:val="10"/>
  </w:num>
  <w:num w:numId="7">
    <w:abstractNumId w:val="8"/>
  </w:num>
  <w:num w:numId="8">
    <w:abstractNumId w:val="4"/>
  </w:num>
  <w:num w:numId="9">
    <w:abstractNumId w:val="5"/>
  </w:num>
  <w:num w:numId="10">
    <w:abstractNumId w:val="1"/>
  </w:num>
  <w:num w:numId="11">
    <w:abstractNumId w:val="7"/>
  </w:num>
  <w:num w:numId="12">
    <w:abstractNumId w:val="9"/>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5EA1"/>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1B5"/>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BCC"/>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243"/>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816"/>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6A7"/>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A0"/>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114"/>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9B5"/>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19D"/>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195"/>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95C"/>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1EE7"/>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6C7"/>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5D9D"/>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14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CD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44F"/>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96"/>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A49"/>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1EEF"/>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4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952"/>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28"/>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609"/>
    <w:rsid w:val="00C877F2"/>
    <w:rsid w:val="00C87C90"/>
    <w:rsid w:val="00C90411"/>
    <w:rsid w:val="00C905DA"/>
    <w:rsid w:val="00C90D8C"/>
    <w:rsid w:val="00C913AA"/>
    <w:rsid w:val="00C9150D"/>
    <w:rsid w:val="00C91587"/>
    <w:rsid w:val="00C91670"/>
    <w:rsid w:val="00C91758"/>
    <w:rsid w:val="00C918EC"/>
    <w:rsid w:val="00C91D6A"/>
    <w:rsid w:val="00C91E5B"/>
    <w:rsid w:val="00C92075"/>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B04"/>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3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16F"/>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864"/>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24"/>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1"/>
    <w:rsid w:val="00DF7695"/>
    <w:rsid w:val="00DF76AA"/>
    <w:rsid w:val="00DF7728"/>
    <w:rsid w:val="00DF7945"/>
    <w:rsid w:val="00DF7D69"/>
    <w:rsid w:val="00DF7E66"/>
    <w:rsid w:val="00E001BA"/>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E8"/>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C50"/>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2B9"/>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40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tabs>
        <w:tab w:val="clear" w:pos="6912"/>
        <w:tab w:val="num" w:pos="432"/>
      </w:tabs>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ì¬º¥¹¥È¶ÎÂä,ÁÐ³ö¶ÎÂä,¥ê¥¹¥È¶ÎÂä"/>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ì¬º¥¹¥È¶ÎÂä Char,ÁÐ³ö¶ÎÂä Char,¥ê¥¹¥È¶ÎÂä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7573063">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3EQ6UJ4K66FU-116443906-35854</_dlc_DocId>
    <_dlc_DocIdUrl xmlns="df4eea7b-52db-4162-980b-b352f1b580a3">
      <Url>https://projects.qualcomm.com/sites/meridian/_layouts/15/DocIdRedir.aspx?ID=3EQ6UJ4K66FU-116443906-35854</Url>
      <Description>3EQ6UJ4K66FU-116443906-35854</Description>
    </_dlc_DocIdUrl>
    <IconOverlay xmlns="http://schemas.microsoft.com/sharepoint/v4" xsi:nil="true"/>
    <_dlc_DocIdPersistId xmlns="df4eea7b-52db-4162-980b-b352f1b580a3">false</_dlc_DocIdPersistI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99BFF4D2-14D0-4EA8-B8E1-F3AFB8E92F41}">
  <ds:schemaRefs>
    <ds:schemaRef ds:uri="http://schemas.openxmlformats.org/officeDocument/2006/bibliography"/>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828F589F-4FC9-42AF-BB60-72B6BB99A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AE21B5-DD39-4E52-890A-5F909391D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6034</TotalTime>
  <Pages>6</Pages>
  <Words>2105</Words>
  <Characters>11999</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163</cp:revision>
  <cp:lastPrinted>2010-08-13T21:54:00Z</cp:lastPrinted>
  <dcterms:created xsi:type="dcterms:W3CDTF">2017-12-19T08:06:00Z</dcterms:created>
  <dcterms:modified xsi:type="dcterms:W3CDTF">2019-08-16T20:26:00Z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8d2e8fdf-6c7d-4d9c-8993-bb8236ed3ef9</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y fmtid="{D5CDD505-2E9C-101B-9397-08002B2CF9AE}" pid="10" name="Order">
    <vt:r8>3538200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